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5F" w:rsidRPr="00A06DAF" w:rsidRDefault="00B540F9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06DAF">
        <w:rPr>
          <w:rFonts w:ascii="Book Antiqua" w:hAnsi="Book Antiqua" w:cs="Times New Roman"/>
          <w:b/>
          <w:bCs/>
          <w:sz w:val="24"/>
          <w:szCs w:val="24"/>
        </w:rPr>
        <w:t xml:space="preserve">               </w:t>
      </w:r>
      <w:r w:rsidR="007C175F" w:rsidRPr="00A06DAF">
        <w:rPr>
          <w:rFonts w:ascii="Book Antiqua" w:hAnsi="Book Antiqua" w:cs="Times New Roman"/>
          <w:b/>
          <w:bCs/>
          <w:sz w:val="24"/>
          <w:szCs w:val="24"/>
        </w:rPr>
        <w:t>REPUBLIKA HRVATSKA</w:t>
      </w:r>
    </w:p>
    <w:p w:rsidR="007C175F" w:rsidRPr="00A06DAF" w:rsidRDefault="00B540F9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06DAF">
        <w:rPr>
          <w:rFonts w:ascii="Book Antiqua" w:hAnsi="Book Antiqua" w:cs="Times New Roman"/>
          <w:b/>
          <w:bCs/>
          <w:sz w:val="24"/>
          <w:szCs w:val="24"/>
        </w:rPr>
        <w:t xml:space="preserve">      </w:t>
      </w:r>
      <w:r w:rsidR="007C175F" w:rsidRPr="00A06DAF">
        <w:rPr>
          <w:rFonts w:ascii="Book Antiqua" w:hAnsi="Book Antiqua" w:cs="Times New Roman"/>
          <w:b/>
          <w:bCs/>
          <w:sz w:val="24"/>
          <w:szCs w:val="24"/>
        </w:rPr>
        <w:t>OSJEČKO BARANJSKA ŽUPANIJA</w:t>
      </w:r>
    </w:p>
    <w:p w:rsidR="007C175F" w:rsidRPr="00A06DAF" w:rsidRDefault="007C175F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A06DAF">
        <w:rPr>
          <w:rFonts w:ascii="Book Antiqua" w:hAnsi="Book Antiqua" w:cs="Times New Roman"/>
          <w:b/>
          <w:bCs/>
          <w:sz w:val="24"/>
          <w:szCs w:val="24"/>
        </w:rPr>
        <w:t>OSNOVNA ŠKOLA MIROSLAVA KRLEŽE</w:t>
      </w:r>
    </w:p>
    <w:p w:rsidR="007C175F" w:rsidRPr="00A06DAF" w:rsidRDefault="007C175F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sz w:val="24"/>
          <w:szCs w:val="24"/>
        </w:rPr>
      </w:pPr>
    </w:p>
    <w:p w:rsidR="007C175F" w:rsidRDefault="007C175F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A06DAF" w:rsidRPr="00A06DAF" w:rsidRDefault="00A06DAF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7C175F" w:rsidRPr="00A06DAF" w:rsidRDefault="007C175F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7C175F" w:rsidRPr="002D032C" w:rsidRDefault="007C175F" w:rsidP="007C17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2E74B5" w:themeColor="accent1" w:themeShade="BF"/>
          <w:sz w:val="28"/>
          <w:szCs w:val="28"/>
          <w:u w:val="single"/>
        </w:rPr>
      </w:pPr>
      <w:r w:rsidRPr="002D032C">
        <w:rPr>
          <w:rFonts w:ascii="Book Antiqua" w:hAnsi="Book Antiqua" w:cs="Times New Roman"/>
          <w:b/>
          <w:bCs/>
          <w:color w:val="2E74B5" w:themeColor="accent1" w:themeShade="BF"/>
          <w:sz w:val="28"/>
          <w:szCs w:val="28"/>
          <w:u w:val="single"/>
        </w:rPr>
        <w:t>OBRAZLOŽENJE  FINANCIJSKOG PLANA I RAZVOJNOG PROGRAMA OŠ MIROSLAVA KRLEŽE</w:t>
      </w:r>
    </w:p>
    <w:p w:rsidR="007C175F" w:rsidRPr="002D032C" w:rsidRDefault="00D76D34" w:rsidP="007C17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2E74B5" w:themeColor="accent1" w:themeShade="BF"/>
          <w:sz w:val="28"/>
          <w:szCs w:val="28"/>
          <w:u w:val="single"/>
        </w:rPr>
      </w:pPr>
      <w:r>
        <w:rPr>
          <w:rFonts w:ascii="Book Antiqua" w:hAnsi="Book Antiqua" w:cs="Times New Roman"/>
          <w:b/>
          <w:bCs/>
          <w:color w:val="2E74B5" w:themeColor="accent1" w:themeShade="BF"/>
          <w:sz w:val="28"/>
          <w:szCs w:val="28"/>
          <w:u w:val="single"/>
        </w:rPr>
        <w:t>ZA RAZDOBLJE 202</w:t>
      </w:r>
      <w:r w:rsidR="003D112F">
        <w:rPr>
          <w:rFonts w:ascii="Book Antiqua" w:hAnsi="Book Antiqua" w:cs="Times New Roman"/>
          <w:b/>
          <w:bCs/>
          <w:color w:val="2E74B5" w:themeColor="accent1" w:themeShade="BF"/>
          <w:sz w:val="28"/>
          <w:szCs w:val="28"/>
          <w:u w:val="single"/>
        </w:rPr>
        <w:t>3</w:t>
      </w:r>
      <w:r>
        <w:rPr>
          <w:rFonts w:ascii="Book Antiqua" w:hAnsi="Book Antiqua" w:cs="Times New Roman"/>
          <w:b/>
          <w:bCs/>
          <w:color w:val="2E74B5" w:themeColor="accent1" w:themeShade="BF"/>
          <w:sz w:val="28"/>
          <w:szCs w:val="28"/>
          <w:u w:val="single"/>
        </w:rPr>
        <w:t>.-202</w:t>
      </w:r>
      <w:r w:rsidR="003D112F">
        <w:rPr>
          <w:rFonts w:ascii="Book Antiqua" w:hAnsi="Book Antiqua" w:cs="Times New Roman"/>
          <w:b/>
          <w:bCs/>
          <w:color w:val="2E74B5" w:themeColor="accent1" w:themeShade="BF"/>
          <w:sz w:val="28"/>
          <w:szCs w:val="28"/>
          <w:u w:val="single"/>
        </w:rPr>
        <w:t>5</w:t>
      </w:r>
      <w:r w:rsidR="007C175F" w:rsidRPr="002D032C">
        <w:rPr>
          <w:rFonts w:ascii="Book Antiqua" w:hAnsi="Book Antiqua" w:cs="Times New Roman"/>
          <w:b/>
          <w:bCs/>
          <w:color w:val="2E74B5" w:themeColor="accent1" w:themeShade="BF"/>
          <w:sz w:val="28"/>
          <w:szCs w:val="28"/>
          <w:u w:val="single"/>
        </w:rPr>
        <w:t>.</w:t>
      </w:r>
    </w:p>
    <w:p w:rsidR="007C175F" w:rsidRPr="00A06DAF" w:rsidRDefault="007C175F" w:rsidP="001C1FC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7C175F" w:rsidRPr="00A06DAF" w:rsidRDefault="007C175F" w:rsidP="007C17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</w:rPr>
      </w:pPr>
    </w:p>
    <w:p w:rsidR="00626E76" w:rsidRPr="002D032C" w:rsidRDefault="00626E76" w:rsidP="007C175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  <w:u w:val="single"/>
        </w:rPr>
      </w:pPr>
      <w:r w:rsidRPr="002D032C">
        <w:rPr>
          <w:rFonts w:ascii="Book Antiqua" w:hAnsi="Book Antiqua" w:cs="Times New Roman"/>
          <w:b/>
          <w:bCs/>
          <w:color w:val="2E74B5" w:themeColor="accent1" w:themeShade="BF"/>
          <w:u w:val="single"/>
        </w:rPr>
        <w:t xml:space="preserve">UVOD </w:t>
      </w:r>
    </w:p>
    <w:p w:rsidR="00A06DAF" w:rsidRDefault="00A06DA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Pr="00A06DAF" w:rsidRDefault="00A06DAF" w:rsidP="00A06DAF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  <w:r w:rsidRPr="00A06DAF">
        <w:rPr>
          <w:rFonts w:ascii="Book Antiqua" w:hAnsi="Book Antiqua" w:cs="Times New Roman"/>
          <w:b/>
          <w:bCs/>
        </w:rPr>
        <w:t>Sažetak djelokruga rada škole</w:t>
      </w:r>
    </w:p>
    <w:p w:rsidR="00A06DAF" w:rsidRPr="00A06DAF" w:rsidRDefault="00A06DAF" w:rsidP="00A06DAF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A06DAF" w:rsidRPr="00A06DAF" w:rsidRDefault="00A06DAF" w:rsidP="00897093">
      <w:pPr>
        <w:ind w:firstLine="709"/>
        <w:jc w:val="both"/>
        <w:rPr>
          <w:rFonts w:ascii="Book Antiqua" w:hAnsi="Book Antiqua" w:cs="Times New Roman"/>
          <w:color w:val="000000"/>
        </w:rPr>
      </w:pPr>
      <w:r w:rsidRPr="00A06DAF">
        <w:rPr>
          <w:rFonts w:ascii="Book Antiqua" w:hAnsi="Book Antiqua" w:cs="Times New Roman"/>
          <w:color w:val="000000"/>
        </w:rPr>
        <w:t>Djelokrug rada Osnovne škole Miroslava Krleže, Čepin je odgoj i obrazovanje učenika od prvog do osmog razreda.</w:t>
      </w:r>
    </w:p>
    <w:p w:rsidR="00A06DAF" w:rsidRDefault="00A06DAF" w:rsidP="00897093">
      <w:pPr>
        <w:ind w:firstLine="709"/>
        <w:jc w:val="both"/>
        <w:rPr>
          <w:rFonts w:ascii="Book Antiqua" w:hAnsi="Book Antiqua" w:cs="Times New Roman"/>
          <w:color w:val="000000"/>
        </w:rPr>
      </w:pPr>
      <w:r w:rsidRPr="00A06DAF">
        <w:rPr>
          <w:rFonts w:ascii="Book Antiqua" w:hAnsi="Book Antiqua" w:cs="Times New Roman"/>
          <w:color w:val="000000"/>
        </w:rPr>
        <w:t xml:space="preserve">Osnovna škola Miroslava Krleže, Čepin kao javna ustanova obavlja djelatnost osnovnog odgoja i obrazovanja u jednoj zgradi u svom vlasništvu. Ukupna površina zgrade sa sportskom dvoranom veličine </w:t>
      </w:r>
      <w:smartTag w:uri="urn:schemas-microsoft-com:office:smarttags" w:element="metricconverter">
        <w:smartTagPr>
          <w:attr w:name="ProductID" w:val="288 mﾲ"/>
        </w:smartTagPr>
        <w:r w:rsidRPr="00A06DAF">
          <w:rPr>
            <w:rFonts w:ascii="Book Antiqua" w:hAnsi="Book Antiqua" w:cs="Times New Roman"/>
            <w:color w:val="000000"/>
          </w:rPr>
          <w:t>288 m²</w:t>
        </w:r>
      </w:smartTag>
      <w:r w:rsidRPr="00A06DAF">
        <w:rPr>
          <w:rFonts w:ascii="Book Antiqua" w:hAnsi="Book Antiqua" w:cs="Times New Roman"/>
          <w:color w:val="000000"/>
        </w:rPr>
        <w:t xml:space="preserve"> iznosi </w:t>
      </w:r>
      <w:smartTag w:uri="urn:schemas-microsoft-com:office:smarttags" w:element="metricconverter">
        <w:smartTagPr>
          <w:attr w:name="ProductID" w:val="2 300 mﾲ"/>
        </w:smartTagPr>
        <w:r w:rsidRPr="00A06DAF">
          <w:rPr>
            <w:rFonts w:ascii="Book Antiqua" w:hAnsi="Book Antiqua" w:cs="Times New Roman"/>
            <w:color w:val="000000"/>
          </w:rPr>
          <w:t>2 300 m²</w:t>
        </w:r>
      </w:smartTag>
      <w:r w:rsidRPr="00A06DAF">
        <w:rPr>
          <w:rFonts w:ascii="Book Antiqua" w:hAnsi="Book Antiqua" w:cs="Times New Roman"/>
          <w:color w:val="000000"/>
        </w:rPr>
        <w:t xml:space="preserve">. Parcela na kojoj je izgrađena školska zgrada ukupne je površine </w:t>
      </w:r>
      <w:smartTag w:uri="urn:schemas-microsoft-com:office:smarttags" w:element="metricconverter">
        <w:smartTagPr>
          <w:attr w:name="ProductID" w:val="11 374 mﾲ"/>
        </w:smartTagPr>
        <w:r w:rsidRPr="00A06DAF">
          <w:rPr>
            <w:rFonts w:ascii="Book Antiqua" w:hAnsi="Book Antiqua" w:cs="Times New Roman"/>
            <w:color w:val="000000"/>
          </w:rPr>
          <w:t>11 374 m²</w:t>
        </w:r>
      </w:smartTag>
      <w:r w:rsidRPr="00A06DAF">
        <w:rPr>
          <w:rFonts w:ascii="Book Antiqua" w:hAnsi="Book Antiqua" w:cs="Times New Roman"/>
          <w:color w:val="000000"/>
        </w:rPr>
        <w:t>, i u vlasništvu je škole.</w:t>
      </w:r>
    </w:p>
    <w:p w:rsidR="00A06DAF" w:rsidRPr="00A06DAF" w:rsidRDefault="00A06DAF" w:rsidP="00897093">
      <w:pPr>
        <w:ind w:firstLine="709"/>
        <w:jc w:val="both"/>
        <w:rPr>
          <w:rFonts w:ascii="Book Antiqua" w:hAnsi="Book Antiqua" w:cs="Times New Roman"/>
          <w:color w:val="000000"/>
        </w:rPr>
      </w:pPr>
      <w:r w:rsidRPr="00A06DAF">
        <w:rPr>
          <w:rFonts w:ascii="Book Antiqua" w:hAnsi="Book Antiqua" w:cs="Times New Roman"/>
          <w:color w:val="000000"/>
        </w:rPr>
        <w:t xml:space="preserve">Škola nema učenika putnika. </w:t>
      </w:r>
    </w:p>
    <w:p w:rsidR="00A06DAF" w:rsidRPr="00A06DAF" w:rsidRDefault="00A06DAF" w:rsidP="00897093">
      <w:pPr>
        <w:ind w:firstLine="709"/>
        <w:jc w:val="both"/>
        <w:rPr>
          <w:rFonts w:ascii="Book Antiqua" w:hAnsi="Book Antiqua" w:cs="Times New Roman"/>
          <w:color w:val="000000"/>
        </w:rPr>
      </w:pPr>
      <w:r w:rsidRPr="00A06DAF">
        <w:rPr>
          <w:rFonts w:ascii="Book Antiqua" w:hAnsi="Book Antiqua" w:cs="Times New Roman"/>
          <w:color w:val="000000"/>
        </w:rPr>
        <w:t>Nastava se odvija u dvije smjene koje se tjedno pravilno izmjenjuju. Nastava se odvija u petodnevnom radnom tjednu.</w:t>
      </w:r>
    </w:p>
    <w:p w:rsidR="00A06DAF" w:rsidRPr="00A06DAF" w:rsidRDefault="00A06DAF" w:rsidP="00897093">
      <w:pPr>
        <w:ind w:firstLine="709"/>
        <w:jc w:val="both"/>
        <w:rPr>
          <w:rFonts w:ascii="Book Antiqua" w:hAnsi="Book Antiqua" w:cs="Times New Roman"/>
          <w:color w:val="000000" w:themeColor="text1"/>
        </w:rPr>
      </w:pPr>
      <w:r w:rsidRPr="00A06DAF">
        <w:rPr>
          <w:rFonts w:ascii="Book Antiqua" w:hAnsi="Book Antiqua" w:cs="Times New Roman"/>
          <w:color w:val="000000" w:themeColor="text1"/>
        </w:rPr>
        <w:t xml:space="preserve">Školu </w:t>
      </w:r>
      <w:r w:rsidRPr="00A373C8">
        <w:rPr>
          <w:rFonts w:ascii="Book Antiqua" w:hAnsi="Book Antiqua" w:cs="Times New Roman"/>
          <w:color w:val="000000" w:themeColor="text1"/>
        </w:rPr>
        <w:t>pohađa 3</w:t>
      </w:r>
      <w:r w:rsidR="001C1FC8" w:rsidRPr="00A373C8">
        <w:rPr>
          <w:rFonts w:ascii="Book Antiqua" w:hAnsi="Book Antiqua" w:cs="Times New Roman"/>
          <w:color w:val="000000" w:themeColor="text1"/>
        </w:rPr>
        <w:t>9</w:t>
      </w:r>
      <w:r w:rsidR="00F54135" w:rsidRPr="00A373C8">
        <w:rPr>
          <w:rFonts w:ascii="Book Antiqua" w:hAnsi="Book Antiqua" w:cs="Times New Roman"/>
          <w:color w:val="000000" w:themeColor="text1"/>
        </w:rPr>
        <w:t>9</w:t>
      </w:r>
      <w:r w:rsidRPr="00A373C8">
        <w:rPr>
          <w:rFonts w:ascii="Book Antiqua" w:hAnsi="Book Antiqua" w:cs="Times New Roman"/>
          <w:color w:val="000000" w:themeColor="text1"/>
        </w:rPr>
        <w:t xml:space="preserve"> </w:t>
      </w:r>
      <w:r w:rsidRPr="00A06DAF">
        <w:rPr>
          <w:rFonts w:ascii="Book Antiqua" w:hAnsi="Book Antiqua" w:cs="Times New Roman"/>
          <w:color w:val="000000" w:themeColor="text1"/>
        </w:rPr>
        <w:t xml:space="preserve">učenika </w:t>
      </w:r>
      <w:r w:rsidRPr="00A06DAF">
        <w:rPr>
          <w:rFonts w:ascii="Book Antiqua" w:hAnsi="Book Antiqua" w:cs="Times New Roman"/>
        </w:rPr>
        <w:t xml:space="preserve">raspoređenih u </w:t>
      </w:r>
      <w:r w:rsidRPr="00A373C8">
        <w:rPr>
          <w:rFonts w:ascii="Book Antiqua" w:hAnsi="Book Antiqua" w:cs="Times New Roman"/>
          <w:color w:val="000000" w:themeColor="text1"/>
        </w:rPr>
        <w:t xml:space="preserve">20 razrednih </w:t>
      </w:r>
      <w:r w:rsidRPr="00A06DAF">
        <w:rPr>
          <w:rFonts w:ascii="Book Antiqua" w:hAnsi="Book Antiqua" w:cs="Times New Roman"/>
          <w:color w:val="000000" w:themeColor="text1"/>
        </w:rPr>
        <w:t>odjela 1. do 8. razreda. P</w:t>
      </w:r>
      <w:r w:rsidR="001C1FC8">
        <w:rPr>
          <w:rFonts w:ascii="Book Antiqua" w:hAnsi="Book Antiqua" w:cs="Times New Roman"/>
          <w:color w:val="000000" w:themeColor="text1"/>
        </w:rPr>
        <w:t>lanira se da se broj učenika narednih godina neće smanjivati nego se očekuje blagi rast.</w:t>
      </w:r>
    </w:p>
    <w:p w:rsidR="00A06DAF" w:rsidRPr="00A06DAF" w:rsidRDefault="00A06DAF" w:rsidP="00897093">
      <w:pPr>
        <w:ind w:firstLine="709"/>
        <w:jc w:val="both"/>
        <w:rPr>
          <w:rFonts w:ascii="Book Antiqua" w:hAnsi="Book Antiqua" w:cs="Times New Roman"/>
          <w:color w:val="000000" w:themeColor="text1"/>
        </w:rPr>
      </w:pPr>
      <w:r w:rsidRPr="00A06DAF">
        <w:rPr>
          <w:rFonts w:ascii="Book Antiqua" w:hAnsi="Book Antiqua" w:cs="Times New Roman"/>
          <w:color w:val="000000" w:themeColor="text1"/>
        </w:rPr>
        <w:t xml:space="preserve"> Za učenike u školi je organizirana školska kuhinja. </w:t>
      </w:r>
    </w:p>
    <w:p w:rsidR="00A06DAF" w:rsidRPr="00FC268D" w:rsidRDefault="00A06DAF" w:rsidP="00897093">
      <w:pPr>
        <w:jc w:val="both"/>
        <w:rPr>
          <w:rFonts w:ascii="Book Antiqua" w:hAnsi="Book Antiqua" w:cs="Times New Roman"/>
          <w:color w:val="FF0000"/>
        </w:rPr>
      </w:pPr>
      <w:r w:rsidRPr="00A06DAF">
        <w:rPr>
          <w:rFonts w:ascii="Book Antiqua" w:hAnsi="Book Antiqua" w:cs="Times New Roman"/>
          <w:color w:val="000000" w:themeColor="text1"/>
        </w:rPr>
        <w:t xml:space="preserve">Na realizaciji Godišnjeg nastavnog plana i programa rada škole </w:t>
      </w:r>
      <w:r w:rsidRPr="00F54135">
        <w:rPr>
          <w:rFonts w:ascii="Book Antiqua" w:hAnsi="Book Antiqua" w:cs="Times New Roman"/>
        </w:rPr>
        <w:t xml:space="preserve">za </w:t>
      </w:r>
      <w:r w:rsidR="00531ABF" w:rsidRPr="00F54135">
        <w:rPr>
          <w:rFonts w:ascii="Book Antiqua" w:hAnsi="Book Antiqua" w:cs="Times New Roman"/>
        </w:rPr>
        <w:t>202</w:t>
      </w:r>
      <w:r w:rsidR="00F54135">
        <w:rPr>
          <w:rFonts w:ascii="Book Antiqua" w:hAnsi="Book Antiqua" w:cs="Times New Roman"/>
        </w:rPr>
        <w:t>2</w:t>
      </w:r>
      <w:r w:rsidR="00531ABF" w:rsidRPr="00F54135">
        <w:rPr>
          <w:rFonts w:ascii="Book Antiqua" w:hAnsi="Book Antiqua" w:cs="Times New Roman"/>
        </w:rPr>
        <w:t>./2</w:t>
      </w:r>
      <w:r w:rsidR="00F54135">
        <w:rPr>
          <w:rFonts w:ascii="Book Antiqua" w:hAnsi="Book Antiqua" w:cs="Times New Roman"/>
        </w:rPr>
        <w:t>3</w:t>
      </w:r>
      <w:r w:rsidRPr="00F54135">
        <w:rPr>
          <w:rFonts w:ascii="Book Antiqua" w:hAnsi="Book Antiqua" w:cs="Times New Roman"/>
        </w:rPr>
        <w:t xml:space="preserve">. </w:t>
      </w:r>
      <w:r w:rsidRPr="00A06DAF">
        <w:rPr>
          <w:rFonts w:ascii="Book Antiqua" w:hAnsi="Book Antiqua" w:cs="Times New Roman"/>
        </w:rPr>
        <w:t xml:space="preserve">godinu radi ukupno </w:t>
      </w:r>
      <w:r w:rsidR="002E628F">
        <w:rPr>
          <w:rFonts w:ascii="Book Antiqua" w:hAnsi="Book Antiqua" w:cs="Times New Roman"/>
        </w:rPr>
        <w:t>50</w:t>
      </w:r>
      <w:r w:rsidRPr="00A06DAF">
        <w:rPr>
          <w:rFonts w:ascii="Book Antiqua" w:hAnsi="Book Antiqua" w:cs="Times New Roman"/>
        </w:rPr>
        <w:t xml:space="preserve"> radnika, od čega su: </w:t>
      </w:r>
      <w:r w:rsidR="002E628F">
        <w:rPr>
          <w:rFonts w:ascii="Book Antiqua" w:hAnsi="Book Antiqua" w:cs="Times New Roman"/>
        </w:rPr>
        <w:t>40</w:t>
      </w:r>
      <w:r w:rsidRPr="00A06DAF">
        <w:rPr>
          <w:rFonts w:ascii="Book Antiqua" w:hAnsi="Book Antiqua" w:cs="Times New Roman"/>
        </w:rPr>
        <w:t xml:space="preserve"> učitelja, </w:t>
      </w:r>
      <w:r w:rsidR="00F54135">
        <w:rPr>
          <w:rFonts w:ascii="Book Antiqua" w:hAnsi="Book Antiqua" w:cs="Times New Roman"/>
        </w:rPr>
        <w:t>2</w:t>
      </w:r>
      <w:r w:rsidRPr="00A06DAF">
        <w:rPr>
          <w:rFonts w:ascii="Book Antiqua" w:hAnsi="Book Antiqua" w:cs="Times New Roman"/>
        </w:rPr>
        <w:t xml:space="preserve"> stručna suradnika, 2 administrativno financijska radnika, 6 radnika na pomoćnim i tehničkim poslovima i ravnatelj.</w:t>
      </w:r>
      <w:r w:rsidR="001C1FC8" w:rsidRPr="001C1FC8">
        <w:rPr>
          <w:rFonts w:ascii="Book Antiqua" w:hAnsi="Book Antiqua" w:cs="Times New Roman"/>
          <w:color w:val="000000"/>
        </w:rPr>
        <w:t xml:space="preserve"> </w:t>
      </w:r>
      <w:r w:rsidR="001C1FC8">
        <w:rPr>
          <w:rFonts w:ascii="Book Antiqua" w:hAnsi="Book Antiqua" w:cs="Times New Roman"/>
          <w:color w:val="000000"/>
        </w:rPr>
        <w:t>U školi je potpuna stručna zastupljenost učitelja i stručnih suradnika</w:t>
      </w:r>
      <w:r w:rsidR="00F54135">
        <w:rPr>
          <w:rFonts w:ascii="Book Antiqua" w:hAnsi="Book Antiqua" w:cs="Times New Roman"/>
          <w:color w:val="000000"/>
        </w:rPr>
        <w:t>.</w:t>
      </w:r>
    </w:p>
    <w:p w:rsidR="00A06DAF" w:rsidRPr="00A06DAF" w:rsidRDefault="00A06DAF" w:rsidP="00897093">
      <w:pPr>
        <w:ind w:firstLine="709"/>
        <w:jc w:val="both"/>
        <w:rPr>
          <w:rFonts w:ascii="Book Antiqua" w:hAnsi="Book Antiqua" w:cs="Times New Roman"/>
          <w:color w:val="FF0000"/>
        </w:rPr>
      </w:pPr>
      <w:r w:rsidRPr="00A06DAF">
        <w:rPr>
          <w:rFonts w:ascii="Book Antiqua" w:hAnsi="Book Antiqua" w:cs="Times New Roman"/>
          <w:color w:val="000000"/>
        </w:rPr>
        <w:t>U školi se izvodi redovna, izborna, dopunska i  dodatna nastava te izvannastavne aktivnosti,  a prema Godišnjem planu i programu rada škole i Školskom kurikulumu, koje je, sukladno Zakonu o odgoju i obrazovanju u osnovnoj i srednjoj školi (NN87/2008, 86/09, 92/10, 105/10, 90/11, 5/12,16/12, 86/12,126/12, 94/13, 152/14, 07/17, 68/18</w:t>
      </w:r>
      <w:r w:rsidR="00EF320E">
        <w:rPr>
          <w:rFonts w:ascii="Book Antiqua" w:hAnsi="Book Antiqua" w:cs="Times New Roman"/>
          <w:color w:val="000000"/>
        </w:rPr>
        <w:t>,98/19 i 64/20</w:t>
      </w:r>
      <w:r w:rsidRPr="00A06DAF">
        <w:rPr>
          <w:rFonts w:ascii="Book Antiqua" w:hAnsi="Book Antiqua" w:cs="Times New Roman"/>
          <w:color w:val="000000"/>
        </w:rPr>
        <w:t>.) i Nasta</w:t>
      </w:r>
      <w:r w:rsidRPr="00A06DAF">
        <w:rPr>
          <w:rFonts w:ascii="Book Antiqua" w:hAnsi="Book Antiqua" w:cs="Times New Roman"/>
        </w:rPr>
        <w:t>vnom planu i programu za osnovnu školu (Ministarstvo znanosti</w:t>
      </w:r>
      <w:r w:rsidR="001C1FC8">
        <w:rPr>
          <w:rFonts w:ascii="Book Antiqua" w:hAnsi="Book Antiqua" w:cs="Times New Roman"/>
        </w:rPr>
        <w:t xml:space="preserve"> i</w:t>
      </w:r>
      <w:r w:rsidRPr="00A06DAF">
        <w:rPr>
          <w:rFonts w:ascii="Book Antiqua" w:hAnsi="Book Antiqua" w:cs="Times New Roman"/>
        </w:rPr>
        <w:t xml:space="preserve"> obrazovanja) </w:t>
      </w:r>
      <w:r w:rsidRPr="00A06DAF">
        <w:rPr>
          <w:rFonts w:ascii="Book Antiqua" w:hAnsi="Book Antiqua" w:cs="Times New Roman"/>
          <w:color w:val="000000" w:themeColor="text1"/>
        </w:rPr>
        <w:t xml:space="preserve">donio Školski odbor </w:t>
      </w:r>
      <w:r w:rsidRPr="00FC268D">
        <w:rPr>
          <w:rFonts w:ascii="Book Antiqua" w:hAnsi="Book Antiqua" w:cs="Times New Roman"/>
          <w:color w:val="FF0000"/>
        </w:rPr>
        <w:t xml:space="preserve"> </w:t>
      </w:r>
      <w:r w:rsidR="00F54135" w:rsidRPr="00F54135">
        <w:rPr>
          <w:rFonts w:ascii="Book Antiqua" w:hAnsi="Book Antiqua" w:cs="Times New Roman"/>
        </w:rPr>
        <w:t>5</w:t>
      </w:r>
      <w:r w:rsidRPr="00F54135">
        <w:rPr>
          <w:rFonts w:ascii="Book Antiqua" w:hAnsi="Book Antiqua" w:cs="Times New Roman"/>
        </w:rPr>
        <w:t>.</w:t>
      </w:r>
      <w:r w:rsidRPr="00A06DAF">
        <w:rPr>
          <w:rFonts w:ascii="Book Antiqua" w:hAnsi="Book Antiqua" w:cs="Times New Roman"/>
          <w:color w:val="000000" w:themeColor="text1"/>
        </w:rPr>
        <w:t xml:space="preserve"> listopada 202</w:t>
      </w:r>
      <w:r w:rsidR="00FC268D">
        <w:rPr>
          <w:rFonts w:ascii="Book Antiqua" w:hAnsi="Book Antiqua" w:cs="Times New Roman"/>
          <w:color w:val="000000" w:themeColor="text1"/>
        </w:rPr>
        <w:t>2</w:t>
      </w:r>
      <w:r w:rsidRPr="00A06DAF">
        <w:rPr>
          <w:rFonts w:ascii="Book Antiqua" w:hAnsi="Book Antiqua" w:cs="Times New Roman"/>
          <w:color w:val="000000" w:themeColor="text1"/>
        </w:rPr>
        <w:t>. godine</w:t>
      </w:r>
    </w:p>
    <w:p w:rsidR="00A06DAF" w:rsidRP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2E628F" w:rsidRDefault="002E628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Pr="00A06DAF" w:rsidRDefault="00A06DA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Pr="002D032C" w:rsidRDefault="00A06DAF" w:rsidP="007C175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  <w:u w:val="single"/>
        </w:rPr>
      </w:pPr>
      <w:r w:rsidRPr="002D032C">
        <w:rPr>
          <w:rFonts w:ascii="Book Antiqua" w:hAnsi="Book Antiqua" w:cs="Times New Roman"/>
          <w:b/>
          <w:bCs/>
          <w:color w:val="2E74B5" w:themeColor="accent1" w:themeShade="BF"/>
          <w:u w:val="single"/>
        </w:rPr>
        <w:lastRenderedPageBreak/>
        <w:t>OBRAZLOŽENJE PROGRAMA ( AKTIVNOSTI I PROJEKATA)</w:t>
      </w:r>
    </w:p>
    <w:p w:rsidR="00A06DAF" w:rsidRDefault="00A06DA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Pr="00A06DAF" w:rsidRDefault="003D7537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 xml:space="preserve"> Plam za 202</w:t>
      </w:r>
      <w:r w:rsidR="003D112F">
        <w:rPr>
          <w:rFonts w:ascii="Book Antiqua" w:hAnsi="Book Antiqua" w:cs="Times New Roman"/>
          <w:b/>
          <w:bCs/>
        </w:rPr>
        <w:t>3</w:t>
      </w:r>
      <w:r>
        <w:rPr>
          <w:rFonts w:ascii="Book Antiqua" w:hAnsi="Book Antiqua" w:cs="Times New Roman"/>
          <w:b/>
          <w:bCs/>
        </w:rPr>
        <w:t>. i p</w:t>
      </w:r>
      <w:r w:rsidR="00D76D34">
        <w:rPr>
          <w:rFonts w:ascii="Book Antiqua" w:hAnsi="Book Antiqua" w:cs="Times New Roman"/>
          <w:b/>
          <w:bCs/>
        </w:rPr>
        <w:t>rojekcija u 202</w:t>
      </w:r>
      <w:r w:rsidR="003D112F">
        <w:rPr>
          <w:rFonts w:ascii="Book Antiqua" w:hAnsi="Book Antiqua" w:cs="Times New Roman"/>
          <w:b/>
          <w:bCs/>
        </w:rPr>
        <w:t>4</w:t>
      </w:r>
      <w:r w:rsidR="00D76D34">
        <w:rPr>
          <w:rFonts w:ascii="Book Antiqua" w:hAnsi="Book Antiqua" w:cs="Times New Roman"/>
          <w:b/>
          <w:bCs/>
        </w:rPr>
        <w:t>. -202</w:t>
      </w:r>
      <w:r w:rsidR="003D112F">
        <w:rPr>
          <w:rFonts w:ascii="Book Antiqua" w:hAnsi="Book Antiqua" w:cs="Times New Roman"/>
          <w:b/>
          <w:bCs/>
        </w:rPr>
        <w:t>5</w:t>
      </w:r>
      <w:r w:rsidR="00A06DAF" w:rsidRPr="00A06DAF">
        <w:rPr>
          <w:rFonts w:ascii="Book Antiqua" w:hAnsi="Book Antiqua" w:cs="Times New Roman"/>
          <w:b/>
          <w:bCs/>
        </w:rPr>
        <w:t>.</w:t>
      </w:r>
    </w:p>
    <w:p w:rsidR="00A06DAF" w:rsidRPr="00A06DAF" w:rsidRDefault="00A06DA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A06DAF" w:rsidRPr="005B7B03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Financijskim planom škole sredstva su planirana za provođenje glavnog programa a to je osnovnoškolsko obrazovanje.</w:t>
      </w:r>
    </w:p>
    <w:p w:rsid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Financijskim planom Škole planirana su sredstva za provođenje plana i programa te kurikuluma Škole.</w:t>
      </w:r>
    </w:p>
    <w:p w:rsidR="005B7B03" w:rsidRPr="00A06DAF" w:rsidRDefault="005B7B03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A06DAF" w:rsidRP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Najvažniji cilj programa rada školske ustanove je  kvalitetan odgoj i obrazovanj</w:t>
      </w:r>
      <w:r w:rsidR="00EF320E">
        <w:rPr>
          <w:rFonts w:ascii="Book Antiqua" w:hAnsi="Book Antiqua" w:cs="Times New Roman"/>
        </w:rPr>
        <w:t>e</w:t>
      </w:r>
      <w:r w:rsidRPr="00A06DAF">
        <w:rPr>
          <w:rFonts w:ascii="Book Antiqua" w:hAnsi="Book Antiqua" w:cs="Times New Roman"/>
        </w:rPr>
        <w:t xml:space="preserve"> što se ostvaruje kroz različite školske aktivnosti: </w:t>
      </w:r>
    </w:p>
    <w:p w:rsidR="00A06DAF" w:rsidRP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A06DAF" w:rsidRPr="00A06DAF" w:rsidRDefault="00A06DAF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Redovna nastava, dodatna i dopunska te izborna nastava (izvode je učitelji), a sredstva su osigurana od strane MZO-a.</w:t>
      </w:r>
    </w:p>
    <w:p w:rsidR="00A06DAF" w:rsidRPr="00A06DAF" w:rsidRDefault="00A06DAF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Terenska nastava financirat će se iz sredstava roditelja i Škole, prema utvrđenom Godišnjem planu i programu te kurikulumu Škole – prijedlog za sufinanciranje učenika daju razrednici u dogovoru s Učiteljskim vijećem.</w:t>
      </w:r>
    </w:p>
    <w:p w:rsidR="00A06DAF" w:rsidRPr="00A06DAF" w:rsidRDefault="00A06DAF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Obnova i opremanje školskih zgrada financirat će se iz kapitalnih i decentraliziranih sredstava Osječko-baranjske županije  i iz proračuna Općine Čepin.</w:t>
      </w:r>
    </w:p>
    <w:p w:rsidR="00A06DAF" w:rsidRPr="00A06DAF" w:rsidRDefault="00A06DAF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Osigurat će se sredstva za praćenje sigurnosti na radu (osposobljavanje djelatnika za zaštitu na radu i zaštitu od požara te praćenje od strane licenciranih firmi kao kontrole sigurnosti rada u Školi).</w:t>
      </w:r>
    </w:p>
    <w:p w:rsidR="00A06DAF" w:rsidRPr="00A06DAF" w:rsidRDefault="00A06DAF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Osigurat će se sredstva za sistematske i sanitarne pregleda zaposlenika.</w:t>
      </w:r>
    </w:p>
    <w:p w:rsidR="00A06DAF" w:rsidRPr="00A06DAF" w:rsidRDefault="00A06DAF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Financijskim planovima i programima žele se osigurati što kvalitetniji uvjeti za izvođenje nastave, opremanje Škola te bi postignuća učenika trebala biti bolja i kvalitetnija.</w:t>
      </w:r>
    </w:p>
    <w:p w:rsidR="00A06DAF" w:rsidRPr="00A06DAF" w:rsidRDefault="00A06DAF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Sredstvima materijalnih troškova osigurat će se podmirivanje energenata (struja, plin, voda), interneta, telefona, uredskog materijala za potrebe nastave, stručnog usavršavanja učitelja, stručnih suradnika, ravnatelja te administrativnih djelatnika.</w:t>
      </w:r>
    </w:p>
    <w:p w:rsidR="00A06DAF" w:rsidRPr="00A06DAF" w:rsidRDefault="00A06DAF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Kroz trogodišnje razdoblje pokušat ćemo racionalizirati troškove (koliko je najviše moguće), pratit ćemo rezultate korištenja financija te uspoređivati kako ulaganja u pojedine segmente utječu na ukupno poboljšanje rezultata Škole.</w:t>
      </w:r>
    </w:p>
    <w:p w:rsid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P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Pokazatelji na kojima se zasnivaju izračuni potrebnih sredstava su vlastita sredstva koja namirujemo iz vlastitih prihoda:</w:t>
      </w:r>
    </w:p>
    <w:p w:rsidR="00A06DAF" w:rsidRP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A06DAF" w:rsidRPr="00A06DAF" w:rsidRDefault="00A06DAF" w:rsidP="0089709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 xml:space="preserve"> - prošlogodišnji prosjek prikupljenih sredstava od najma sportske dvorane i starog papira</w:t>
      </w:r>
    </w:p>
    <w:p w:rsidR="00A06DAF" w:rsidRPr="00A06DAF" w:rsidRDefault="00A06DAF" w:rsidP="0089709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- prošlogodišnji prosjek prikupljenih sredstava od lokalne uprave</w:t>
      </w:r>
    </w:p>
    <w:p w:rsidR="00A06DAF" w:rsidRPr="00A06DAF" w:rsidRDefault="00A06DAF" w:rsidP="00897093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A06DAF" w:rsidRP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Pokazatelj uspješnosti realizacije ciljeva odnosno rezultat programa održavanja pedagoškog standarda vidljivi su iz uređenja i opremanja učionica.</w:t>
      </w:r>
    </w:p>
    <w:p w:rsidR="00A06DAF" w:rsidRP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A06DAF" w:rsidRDefault="00A06DA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012437" w:rsidRDefault="00012437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897093" w:rsidRDefault="00897093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897093" w:rsidRDefault="00897093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012437" w:rsidRDefault="00012437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2E628F" w:rsidRDefault="002E628F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012437" w:rsidRDefault="00012437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tbl>
      <w:tblPr>
        <w:tblStyle w:val="Tamnatablicareetke5-isticanje1"/>
        <w:tblW w:w="0" w:type="auto"/>
        <w:tblLook w:val="04A0" w:firstRow="1" w:lastRow="0" w:firstColumn="1" w:lastColumn="0" w:noHBand="0" w:noVBand="1"/>
      </w:tblPr>
      <w:tblGrid>
        <w:gridCol w:w="988"/>
        <w:gridCol w:w="3247"/>
        <w:gridCol w:w="1572"/>
        <w:gridCol w:w="1442"/>
        <w:gridCol w:w="1813"/>
      </w:tblGrid>
      <w:tr w:rsidR="00012437" w:rsidTr="00CD0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  <w:r w:rsidRPr="00CD0650">
              <w:rPr>
                <w:rFonts w:ascii="Book Antiqua" w:hAnsi="Book Antiqua" w:cs="Times New Roman"/>
                <w:b w:val="0"/>
                <w:bCs w:val="0"/>
              </w:rPr>
              <w:lastRenderedPageBreak/>
              <w:t>IZVOR</w:t>
            </w:r>
          </w:p>
        </w:tc>
        <w:tc>
          <w:tcPr>
            <w:tcW w:w="3247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</w:rPr>
            </w:pPr>
            <w:r w:rsidRPr="00CD0650">
              <w:rPr>
                <w:rFonts w:ascii="Book Antiqua" w:hAnsi="Book Antiqua" w:cs="Times New Roman"/>
                <w:b w:val="0"/>
                <w:bCs w:val="0"/>
              </w:rPr>
              <w:t>OPIS</w:t>
            </w:r>
          </w:p>
        </w:tc>
        <w:tc>
          <w:tcPr>
            <w:tcW w:w="157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</w:pPr>
            <w:r w:rsidRPr="00CD0650"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  <w:t>PRIJEDLOG PRORAČUNA ZA 202</w:t>
            </w:r>
            <w:r w:rsidR="00A64A02"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  <w:t>3</w:t>
            </w:r>
            <w:r w:rsidRPr="00CD0650"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  <w:t>.g.</w:t>
            </w:r>
          </w:p>
        </w:tc>
        <w:tc>
          <w:tcPr>
            <w:tcW w:w="144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</w:pPr>
            <w:r w:rsidRPr="00CD0650"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  <w:t>PROJEKCIJE ZA 202</w:t>
            </w:r>
            <w:r w:rsidR="00A64A02"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  <w:t>4</w:t>
            </w:r>
            <w:r w:rsidRPr="00CD0650"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  <w:t>.g.</w:t>
            </w:r>
          </w:p>
        </w:tc>
        <w:tc>
          <w:tcPr>
            <w:tcW w:w="1813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</w:pPr>
            <w:r w:rsidRPr="00CD0650"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  <w:t>PROJEKCIJE ZA 202</w:t>
            </w:r>
            <w:r w:rsidR="00A64A02"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  <w:t>5</w:t>
            </w:r>
            <w:r w:rsidRPr="00CD0650">
              <w:rPr>
                <w:rFonts w:ascii="Book Antiqua" w:hAnsi="Book Antiqua" w:cs="Times New Roman"/>
                <w:b w:val="0"/>
                <w:bCs w:val="0"/>
                <w:sz w:val="20"/>
                <w:szCs w:val="20"/>
              </w:rPr>
              <w:t>.G.</w:t>
            </w:r>
          </w:p>
        </w:tc>
      </w:tr>
      <w:tr w:rsidR="00012437" w:rsidTr="00CD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12437" w:rsidRPr="00CD0650" w:rsidRDefault="00012437" w:rsidP="00A06DAF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 w:val="0"/>
                <w:bCs w:val="0"/>
              </w:rPr>
            </w:pPr>
          </w:p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  <w:r w:rsidRPr="00CD0650">
              <w:rPr>
                <w:rFonts w:ascii="Book Antiqua" w:hAnsi="Book Antiqua" w:cs="Times New Roman"/>
                <w:b w:val="0"/>
                <w:bCs w:val="0"/>
              </w:rPr>
              <w:t>11</w:t>
            </w:r>
          </w:p>
        </w:tc>
        <w:tc>
          <w:tcPr>
            <w:tcW w:w="3247" w:type="dxa"/>
          </w:tcPr>
          <w:p w:rsidR="00012437" w:rsidRDefault="00012437" w:rsidP="00A06D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</w:pPr>
            <w:r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  <w:t>OPĆI PRIHODI I PRIMICI – ŽUPANIJSKI PRORAČUN</w:t>
            </w:r>
          </w:p>
        </w:tc>
        <w:tc>
          <w:tcPr>
            <w:tcW w:w="157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081186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9.722,00</w:t>
            </w:r>
          </w:p>
        </w:tc>
        <w:tc>
          <w:tcPr>
            <w:tcW w:w="144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081186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9.722,00</w:t>
            </w:r>
          </w:p>
        </w:tc>
        <w:tc>
          <w:tcPr>
            <w:tcW w:w="1813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081186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9.722,00</w:t>
            </w:r>
          </w:p>
        </w:tc>
      </w:tr>
      <w:tr w:rsidR="00012437" w:rsidTr="00CD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</w:p>
          <w:p w:rsidR="00012437" w:rsidRPr="00CD0650" w:rsidRDefault="003D112F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  <w:r>
              <w:rPr>
                <w:rFonts w:ascii="Book Antiqua" w:hAnsi="Book Antiqua" w:cs="Times New Roman"/>
                <w:b w:val="0"/>
                <w:bCs w:val="0"/>
              </w:rPr>
              <w:t>46</w:t>
            </w:r>
          </w:p>
        </w:tc>
        <w:tc>
          <w:tcPr>
            <w:tcW w:w="3247" w:type="dxa"/>
          </w:tcPr>
          <w:p w:rsidR="00012437" w:rsidRDefault="003D112F" w:rsidP="00A06D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</w:pPr>
            <w:r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  <w:t>PRIHODI ZA POSEBNE NAMJENE-DECENTRALIZACIJA – OSNOVNO ŠKOLSTVO</w:t>
            </w:r>
          </w:p>
        </w:tc>
        <w:tc>
          <w:tcPr>
            <w:tcW w:w="157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3D112F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60.33</w:t>
            </w:r>
            <w:r w:rsidR="00A64A02">
              <w:rPr>
                <w:rFonts w:ascii="Book Antiqua" w:hAnsi="Book Antiqua" w:cs="Times New Roman"/>
                <w:b/>
                <w:bCs/>
              </w:rPr>
              <w:t>8</w:t>
            </w:r>
            <w:r>
              <w:rPr>
                <w:rFonts w:ascii="Book Antiqua" w:hAnsi="Book Antiqua" w:cs="Times New Roman"/>
                <w:b/>
                <w:bCs/>
              </w:rPr>
              <w:t>,00</w:t>
            </w:r>
          </w:p>
        </w:tc>
        <w:tc>
          <w:tcPr>
            <w:tcW w:w="144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60.33</w:t>
            </w:r>
            <w:r w:rsidR="00081186">
              <w:rPr>
                <w:rFonts w:ascii="Book Antiqua" w:hAnsi="Book Antiqua" w:cs="Times New Roman"/>
                <w:b/>
                <w:bCs/>
              </w:rPr>
              <w:t>8</w:t>
            </w:r>
            <w:r>
              <w:rPr>
                <w:rFonts w:ascii="Book Antiqua" w:hAnsi="Book Antiqua" w:cs="Times New Roman"/>
                <w:b/>
                <w:bCs/>
              </w:rPr>
              <w:t>,00</w:t>
            </w:r>
          </w:p>
        </w:tc>
        <w:tc>
          <w:tcPr>
            <w:tcW w:w="1813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60.33</w:t>
            </w:r>
            <w:r w:rsidR="00081186">
              <w:rPr>
                <w:rFonts w:ascii="Book Antiqua" w:hAnsi="Book Antiqua" w:cs="Times New Roman"/>
                <w:b/>
                <w:bCs/>
              </w:rPr>
              <w:t>8</w:t>
            </w:r>
            <w:r>
              <w:rPr>
                <w:rFonts w:ascii="Book Antiqua" w:hAnsi="Book Antiqua" w:cs="Times New Roman"/>
                <w:b/>
                <w:bCs/>
              </w:rPr>
              <w:t>,00</w:t>
            </w:r>
          </w:p>
        </w:tc>
      </w:tr>
      <w:tr w:rsidR="00012437" w:rsidTr="00CD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</w:p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  <w:r w:rsidRPr="00CD0650">
              <w:rPr>
                <w:rFonts w:ascii="Book Antiqua" w:hAnsi="Book Antiqua" w:cs="Times New Roman"/>
                <w:b w:val="0"/>
                <w:bCs w:val="0"/>
              </w:rPr>
              <w:t>32</w:t>
            </w:r>
          </w:p>
        </w:tc>
        <w:tc>
          <w:tcPr>
            <w:tcW w:w="3247" w:type="dxa"/>
          </w:tcPr>
          <w:p w:rsidR="00012437" w:rsidRPr="00012437" w:rsidRDefault="00012437" w:rsidP="00A06D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012437">
              <w:rPr>
                <w:rFonts w:ascii="Book Antiqua" w:hAnsi="Book Antiqua" w:cs="Times New Roman"/>
                <w:b/>
                <w:bCs/>
                <w:color w:val="2E74B5" w:themeColor="accent1" w:themeShade="BF"/>
                <w:sz w:val="20"/>
                <w:szCs w:val="20"/>
              </w:rPr>
              <w:t>VLASTITI PRIHODI – PRORAČUINSKI KORISNICI</w:t>
            </w:r>
          </w:p>
        </w:tc>
        <w:tc>
          <w:tcPr>
            <w:tcW w:w="157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3D112F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6.173,00</w:t>
            </w:r>
          </w:p>
        </w:tc>
        <w:tc>
          <w:tcPr>
            <w:tcW w:w="144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6.173,00</w:t>
            </w:r>
          </w:p>
        </w:tc>
        <w:tc>
          <w:tcPr>
            <w:tcW w:w="1813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6.173,00</w:t>
            </w:r>
          </w:p>
        </w:tc>
      </w:tr>
      <w:tr w:rsidR="00531ABF" w:rsidTr="00CD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531ABF" w:rsidRPr="00CD0650" w:rsidRDefault="00531ABF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3247" w:type="dxa"/>
          </w:tcPr>
          <w:p w:rsidR="00531ABF" w:rsidRDefault="00531ABF" w:rsidP="00A06D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</w:pPr>
          </w:p>
        </w:tc>
        <w:tc>
          <w:tcPr>
            <w:tcW w:w="1572" w:type="dxa"/>
          </w:tcPr>
          <w:p w:rsidR="00531ABF" w:rsidRPr="00CD0650" w:rsidRDefault="00531ABF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442" w:type="dxa"/>
          </w:tcPr>
          <w:p w:rsidR="00531ABF" w:rsidRPr="00CD0650" w:rsidRDefault="00531ABF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813" w:type="dxa"/>
          </w:tcPr>
          <w:p w:rsidR="00531ABF" w:rsidRPr="00CD0650" w:rsidRDefault="00531ABF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012437" w:rsidTr="00CD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</w:p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  <w:r w:rsidRPr="00CD0650">
              <w:rPr>
                <w:rFonts w:ascii="Book Antiqua" w:hAnsi="Book Antiqua" w:cs="Times New Roman"/>
                <w:b w:val="0"/>
                <w:bCs w:val="0"/>
              </w:rPr>
              <w:t>52</w:t>
            </w:r>
          </w:p>
        </w:tc>
        <w:tc>
          <w:tcPr>
            <w:tcW w:w="3247" w:type="dxa"/>
          </w:tcPr>
          <w:p w:rsidR="00012437" w:rsidRDefault="00012437" w:rsidP="00A06D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</w:pPr>
            <w:r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  <w:t xml:space="preserve">POMOĆI – ŽUPANIJSKI PRORAČUN EU PROJEKTI </w:t>
            </w:r>
          </w:p>
        </w:tc>
        <w:tc>
          <w:tcPr>
            <w:tcW w:w="157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3D112F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8.670,00</w:t>
            </w:r>
          </w:p>
        </w:tc>
        <w:tc>
          <w:tcPr>
            <w:tcW w:w="1442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8.670,00</w:t>
            </w:r>
          </w:p>
        </w:tc>
        <w:tc>
          <w:tcPr>
            <w:tcW w:w="1813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8.670,00</w:t>
            </w:r>
          </w:p>
        </w:tc>
      </w:tr>
      <w:tr w:rsidR="00012437" w:rsidTr="00CD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12437" w:rsidRPr="00CD0650" w:rsidRDefault="00012437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 w:val="0"/>
                <w:bCs w:val="0"/>
              </w:rPr>
            </w:pPr>
            <w:r w:rsidRPr="00CD0650">
              <w:rPr>
                <w:rFonts w:ascii="Book Antiqua" w:hAnsi="Book Antiqua" w:cs="Times New Roman"/>
                <w:b w:val="0"/>
                <w:bCs w:val="0"/>
              </w:rPr>
              <w:t>54</w:t>
            </w:r>
          </w:p>
        </w:tc>
        <w:tc>
          <w:tcPr>
            <w:tcW w:w="3247" w:type="dxa"/>
          </w:tcPr>
          <w:p w:rsidR="00012437" w:rsidRDefault="00012437" w:rsidP="00A06D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</w:pPr>
            <w:r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  <w:t>POMOĆI - KORISNICI</w:t>
            </w:r>
          </w:p>
        </w:tc>
        <w:tc>
          <w:tcPr>
            <w:tcW w:w="1572" w:type="dxa"/>
          </w:tcPr>
          <w:p w:rsidR="00012437" w:rsidRPr="00CD0650" w:rsidRDefault="003D112F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1.126.822,00</w:t>
            </w:r>
          </w:p>
        </w:tc>
        <w:tc>
          <w:tcPr>
            <w:tcW w:w="1442" w:type="dxa"/>
          </w:tcPr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1.126.822,00</w:t>
            </w:r>
          </w:p>
        </w:tc>
        <w:tc>
          <w:tcPr>
            <w:tcW w:w="1813" w:type="dxa"/>
          </w:tcPr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1.126.822,00</w:t>
            </w:r>
          </w:p>
        </w:tc>
      </w:tr>
      <w:tr w:rsidR="00897093" w:rsidTr="00CD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093" w:rsidRPr="00CD0650" w:rsidRDefault="00897093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62</w:t>
            </w:r>
          </w:p>
        </w:tc>
        <w:tc>
          <w:tcPr>
            <w:tcW w:w="3247" w:type="dxa"/>
          </w:tcPr>
          <w:p w:rsidR="00897093" w:rsidRDefault="00897093" w:rsidP="00A06D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</w:pPr>
            <w:r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  <w:t>UGOVORI DONACIJE KORISNICI</w:t>
            </w:r>
          </w:p>
        </w:tc>
        <w:tc>
          <w:tcPr>
            <w:tcW w:w="1572" w:type="dxa"/>
          </w:tcPr>
          <w:p w:rsidR="00897093" w:rsidRDefault="003D112F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52.142,00</w:t>
            </w:r>
          </w:p>
        </w:tc>
        <w:tc>
          <w:tcPr>
            <w:tcW w:w="1442" w:type="dxa"/>
          </w:tcPr>
          <w:p w:rsidR="00897093" w:rsidRDefault="001E3398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52.142,00</w:t>
            </w:r>
          </w:p>
        </w:tc>
        <w:tc>
          <w:tcPr>
            <w:tcW w:w="1813" w:type="dxa"/>
          </w:tcPr>
          <w:p w:rsidR="00897093" w:rsidRDefault="001E3398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52.142,00</w:t>
            </w:r>
          </w:p>
        </w:tc>
      </w:tr>
      <w:tr w:rsidR="00447EFE" w:rsidTr="00CD06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447EFE" w:rsidRDefault="00447EFE" w:rsidP="0001243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92</w:t>
            </w:r>
          </w:p>
        </w:tc>
        <w:tc>
          <w:tcPr>
            <w:tcW w:w="3247" w:type="dxa"/>
          </w:tcPr>
          <w:p w:rsidR="00447EFE" w:rsidRDefault="00447EFE" w:rsidP="00A06D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</w:pPr>
            <w:r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  <w:t>VIŠAK PRIHODA</w:t>
            </w:r>
          </w:p>
        </w:tc>
        <w:tc>
          <w:tcPr>
            <w:tcW w:w="1572" w:type="dxa"/>
          </w:tcPr>
          <w:p w:rsidR="00447EFE" w:rsidRDefault="003D112F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3.982,00</w:t>
            </w:r>
          </w:p>
        </w:tc>
        <w:tc>
          <w:tcPr>
            <w:tcW w:w="1442" w:type="dxa"/>
          </w:tcPr>
          <w:p w:rsidR="00447EFE" w:rsidRDefault="00447EFE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813" w:type="dxa"/>
          </w:tcPr>
          <w:p w:rsidR="00447EFE" w:rsidRDefault="00447EFE" w:rsidP="0001243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012437" w:rsidTr="00CD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012437" w:rsidRPr="00CD0650" w:rsidRDefault="00012437" w:rsidP="00A06DAF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 w:val="0"/>
                <w:bCs w:val="0"/>
              </w:rPr>
            </w:pPr>
          </w:p>
        </w:tc>
        <w:tc>
          <w:tcPr>
            <w:tcW w:w="3247" w:type="dxa"/>
          </w:tcPr>
          <w:p w:rsidR="00012437" w:rsidRDefault="00012437" w:rsidP="00A06D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</w:pPr>
            <w:r>
              <w:rPr>
                <w:rFonts w:ascii="Book Antiqua" w:hAnsi="Book Antiqua" w:cs="Times New Roman"/>
                <w:b/>
                <w:bCs/>
                <w:color w:val="2E74B5" w:themeColor="accent1" w:themeShade="BF"/>
              </w:rPr>
              <w:t>UKUPNO</w:t>
            </w:r>
          </w:p>
        </w:tc>
        <w:tc>
          <w:tcPr>
            <w:tcW w:w="1572" w:type="dxa"/>
          </w:tcPr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1.</w:t>
            </w:r>
            <w:r w:rsidR="00081186">
              <w:rPr>
                <w:rFonts w:ascii="Book Antiqua" w:hAnsi="Book Antiqua" w:cs="Times New Roman"/>
                <w:b/>
                <w:bCs/>
              </w:rPr>
              <w:t>267.849,00</w:t>
            </w:r>
          </w:p>
        </w:tc>
        <w:tc>
          <w:tcPr>
            <w:tcW w:w="1442" w:type="dxa"/>
          </w:tcPr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1.</w:t>
            </w:r>
            <w:r w:rsidR="00081186">
              <w:rPr>
                <w:rFonts w:ascii="Book Antiqua" w:hAnsi="Book Antiqua" w:cs="Times New Roman"/>
                <w:b/>
                <w:bCs/>
              </w:rPr>
              <w:t>263.867,00</w:t>
            </w:r>
          </w:p>
        </w:tc>
        <w:tc>
          <w:tcPr>
            <w:tcW w:w="1813" w:type="dxa"/>
          </w:tcPr>
          <w:p w:rsidR="00012437" w:rsidRPr="00CD0650" w:rsidRDefault="001E3398" w:rsidP="0001243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1.</w:t>
            </w:r>
            <w:r w:rsidR="00081186">
              <w:rPr>
                <w:rFonts w:ascii="Book Antiqua" w:hAnsi="Book Antiqua" w:cs="Times New Roman"/>
                <w:b/>
                <w:bCs/>
              </w:rPr>
              <w:t>263.867</w:t>
            </w:r>
            <w:r>
              <w:rPr>
                <w:rFonts w:ascii="Book Antiqua" w:hAnsi="Book Antiqua" w:cs="Times New Roman"/>
                <w:b/>
                <w:bCs/>
              </w:rPr>
              <w:t>,00</w:t>
            </w:r>
          </w:p>
        </w:tc>
      </w:tr>
    </w:tbl>
    <w:p w:rsidR="00A06DAF" w:rsidRDefault="00A06DA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Default="00A06DA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Pr="00A06DAF" w:rsidRDefault="00A06DA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Pr="00EA7938" w:rsidRDefault="00A06DAF" w:rsidP="00A06D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  <w:u w:val="single"/>
        </w:rPr>
      </w:pPr>
      <w:r w:rsidRPr="00EA7938">
        <w:rPr>
          <w:rFonts w:ascii="Book Antiqua" w:hAnsi="Book Antiqua" w:cs="Times New Roman"/>
          <w:b/>
          <w:bCs/>
          <w:color w:val="2E74B5" w:themeColor="accent1" w:themeShade="BF"/>
          <w:u w:val="single"/>
        </w:rPr>
        <w:t>ZAKONSKE I DRUGE PRAVNE OSNOVE</w:t>
      </w:r>
    </w:p>
    <w:p w:rsidR="00A06DAF" w:rsidRDefault="00A06DA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- Zakon o odgoju i obrazovanju u osnovnoj i srednjoj školi (NN br. 87/08, 86/09.,</w:t>
      </w: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92/10., 105/10,90/11, 5/12, 16/12, 86/12, 126/12, 94/12 i 152/14,07/17,68/18</w:t>
      </w:r>
      <w:r w:rsidR="00EF320E">
        <w:rPr>
          <w:rFonts w:ascii="Book Antiqua" w:hAnsi="Book Antiqua" w:cs="Times New Roman"/>
        </w:rPr>
        <w:t>,64/20</w:t>
      </w:r>
      <w:r w:rsidRPr="00A06DAF">
        <w:rPr>
          <w:rFonts w:ascii="Book Antiqua" w:hAnsi="Book Antiqua" w:cs="Times New Roman"/>
        </w:rPr>
        <w:t>.)</w:t>
      </w: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- Zakon o ustanovama ( NN br. 76/93., 29/97., 47/99., 35/08</w:t>
      </w:r>
      <w:r w:rsidR="00EF320E">
        <w:rPr>
          <w:rFonts w:ascii="Book Antiqua" w:hAnsi="Book Antiqua" w:cs="Times New Roman"/>
        </w:rPr>
        <w:t>,127/19</w:t>
      </w:r>
      <w:r w:rsidRPr="00A06DAF">
        <w:rPr>
          <w:rFonts w:ascii="Book Antiqua" w:hAnsi="Book Antiqua" w:cs="Times New Roman"/>
        </w:rPr>
        <w:t>.)</w:t>
      </w: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- Zakon o proračunu ( NN br. 87/08, 136/12 i 15/15), Pravilnik o proračunskim klasifikacijama</w:t>
      </w: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NN br. 26/10.) i Pravilnik o proračunskom računovodstvu i računskom planu (NN br. 124/14,115/15,87/16 i 3/18.)</w:t>
      </w: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- Upute za izradu proračuna lokalne (regionalne) samouprave za razdoblje</w:t>
      </w:r>
      <w:r w:rsidR="00897093">
        <w:rPr>
          <w:rFonts w:ascii="Book Antiqua" w:hAnsi="Book Antiqua" w:cs="Times New Roman"/>
        </w:rPr>
        <w:t xml:space="preserve"> </w:t>
      </w:r>
      <w:r w:rsidR="00531ABF">
        <w:rPr>
          <w:rFonts w:ascii="Book Antiqua" w:hAnsi="Book Antiqua" w:cs="Times New Roman"/>
        </w:rPr>
        <w:t>202</w:t>
      </w:r>
      <w:r w:rsidR="002478DE">
        <w:rPr>
          <w:rFonts w:ascii="Book Antiqua" w:hAnsi="Book Antiqua" w:cs="Times New Roman"/>
        </w:rPr>
        <w:t>3</w:t>
      </w:r>
      <w:r w:rsidR="00531ABF">
        <w:rPr>
          <w:rFonts w:ascii="Book Antiqua" w:hAnsi="Book Antiqua" w:cs="Times New Roman"/>
        </w:rPr>
        <w:t>.-202</w:t>
      </w:r>
      <w:r w:rsidR="002478DE">
        <w:rPr>
          <w:rFonts w:ascii="Book Antiqua" w:hAnsi="Book Antiqua" w:cs="Times New Roman"/>
        </w:rPr>
        <w:t>5</w:t>
      </w:r>
      <w:r w:rsidRPr="00A06DAF">
        <w:rPr>
          <w:rFonts w:ascii="Book Antiqua" w:hAnsi="Book Antiqua" w:cs="Times New Roman"/>
        </w:rPr>
        <w:t>.</w:t>
      </w:r>
    </w:p>
    <w:p w:rsidR="002D032C" w:rsidRPr="002478DE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 xml:space="preserve">- Godišnji plan i program rada škole za školsku godinu </w:t>
      </w:r>
      <w:r w:rsidRPr="002478DE">
        <w:rPr>
          <w:rFonts w:ascii="Book Antiqua" w:hAnsi="Book Antiqua" w:cs="Times New Roman"/>
        </w:rPr>
        <w:t>202</w:t>
      </w:r>
      <w:r w:rsidR="00FC268D" w:rsidRPr="002478DE">
        <w:rPr>
          <w:rFonts w:ascii="Book Antiqua" w:hAnsi="Book Antiqua" w:cs="Times New Roman"/>
        </w:rPr>
        <w:t>2</w:t>
      </w:r>
      <w:r w:rsidRPr="002478DE">
        <w:rPr>
          <w:rFonts w:ascii="Book Antiqua" w:hAnsi="Book Antiqua" w:cs="Times New Roman"/>
        </w:rPr>
        <w:t>./202</w:t>
      </w:r>
      <w:r w:rsidR="00FC268D" w:rsidRPr="002478DE">
        <w:rPr>
          <w:rFonts w:ascii="Book Antiqua" w:hAnsi="Book Antiqua" w:cs="Times New Roman"/>
        </w:rPr>
        <w:t>3</w:t>
      </w:r>
      <w:r w:rsidRPr="002478DE">
        <w:rPr>
          <w:rFonts w:ascii="Book Antiqua" w:hAnsi="Book Antiqua" w:cs="Times New Roman"/>
        </w:rPr>
        <w:t>.</w:t>
      </w:r>
    </w:p>
    <w:p w:rsidR="002D032C" w:rsidRPr="002478DE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478DE">
        <w:rPr>
          <w:rFonts w:ascii="Book Antiqua" w:hAnsi="Book Antiqua" w:cs="Times New Roman"/>
        </w:rPr>
        <w:t>- Kurikulum škole za školsku godinu 202</w:t>
      </w:r>
      <w:r w:rsidR="00FC268D" w:rsidRPr="002478DE">
        <w:rPr>
          <w:rFonts w:ascii="Book Antiqua" w:hAnsi="Book Antiqua" w:cs="Times New Roman"/>
        </w:rPr>
        <w:t>2</w:t>
      </w:r>
      <w:r w:rsidRPr="002478DE">
        <w:rPr>
          <w:rFonts w:ascii="Book Antiqua" w:hAnsi="Book Antiqua" w:cs="Times New Roman"/>
        </w:rPr>
        <w:t>./202</w:t>
      </w:r>
      <w:r w:rsidR="00FC268D" w:rsidRPr="002478DE">
        <w:rPr>
          <w:rFonts w:ascii="Book Antiqua" w:hAnsi="Book Antiqua" w:cs="Times New Roman"/>
        </w:rPr>
        <w:t>3</w:t>
      </w:r>
      <w:r w:rsidRPr="002478DE">
        <w:rPr>
          <w:rFonts w:ascii="Book Antiqua" w:hAnsi="Book Antiqua" w:cs="Times New Roman"/>
        </w:rPr>
        <w:t>.</w:t>
      </w:r>
    </w:p>
    <w:p w:rsidR="002405BF" w:rsidRPr="002478DE" w:rsidRDefault="002405B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2405BF" w:rsidRDefault="002405B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A06DAF" w:rsidRPr="00A06DAF" w:rsidRDefault="00A06DAF" w:rsidP="00A06DA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2D032C" w:rsidRPr="00EA7938" w:rsidRDefault="002D032C" w:rsidP="002D032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  <w:u w:val="single"/>
        </w:rPr>
      </w:pPr>
      <w:r w:rsidRPr="00EA7938">
        <w:rPr>
          <w:rFonts w:ascii="Book Antiqua" w:hAnsi="Book Antiqua" w:cs="Times New Roman"/>
          <w:b/>
          <w:bCs/>
          <w:color w:val="2E74B5" w:themeColor="accent1" w:themeShade="BF"/>
          <w:u w:val="single"/>
        </w:rPr>
        <w:t>USKLAĐENOST CILJEVA, STRATEGIJE I PROGRAMI S DOKUMENTIMA DUGOROČNOG RAZVOJA</w:t>
      </w:r>
    </w:p>
    <w:p w:rsidR="002D032C" w:rsidRDefault="002D032C" w:rsidP="002D03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2D032C" w:rsidRDefault="002D032C" w:rsidP="002D03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Školske ustanove donose godišnje operativne planove (godišnji izvedbeni odgojno – obrazovni plan i pro</w:t>
      </w:r>
      <w:r w:rsidR="00CD0650">
        <w:rPr>
          <w:rFonts w:ascii="Book Antiqua" w:hAnsi="Book Antiqua" w:cs="Times New Roman"/>
        </w:rPr>
        <w:t xml:space="preserve">gram rada za školsku godinu </w:t>
      </w:r>
      <w:r w:rsidR="00CD0650" w:rsidRPr="002478DE">
        <w:rPr>
          <w:rFonts w:ascii="Book Antiqua" w:hAnsi="Book Antiqua" w:cs="Times New Roman"/>
        </w:rPr>
        <w:t>202</w:t>
      </w:r>
      <w:r w:rsidR="001E3398" w:rsidRPr="002478DE">
        <w:rPr>
          <w:rFonts w:ascii="Book Antiqua" w:hAnsi="Book Antiqua" w:cs="Times New Roman"/>
        </w:rPr>
        <w:t>2</w:t>
      </w:r>
      <w:r w:rsidR="005B7B03" w:rsidRPr="002478DE">
        <w:rPr>
          <w:rFonts w:ascii="Book Antiqua" w:hAnsi="Book Antiqua" w:cs="Times New Roman"/>
        </w:rPr>
        <w:t>.</w:t>
      </w:r>
      <w:r w:rsidR="00CD0650" w:rsidRPr="002478DE">
        <w:rPr>
          <w:rFonts w:ascii="Book Antiqua" w:hAnsi="Book Antiqua" w:cs="Times New Roman"/>
        </w:rPr>
        <w:t>/202</w:t>
      </w:r>
      <w:r w:rsidR="001E3398" w:rsidRPr="002478DE">
        <w:rPr>
          <w:rFonts w:ascii="Book Antiqua" w:hAnsi="Book Antiqua" w:cs="Times New Roman"/>
        </w:rPr>
        <w:t>3</w:t>
      </w:r>
      <w:r w:rsidRPr="002478DE">
        <w:rPr>
          <w:rFonts w:ascii="Book Antiqua" w:hAnsi="Book Antiqua" w:cs="Times New Roman"/>
        </w:rPr>
        <w:t xml:space="preserve">. i školski </w:t>
      </w:r>
      <w:r w:rsidRPr="00A06DAF">
        <w:rPr>
          <w:rFonts w:ascii="Book Antiqua" w:hAnsi="Book Antiqua" w:cs="Times New Roman"/>
        </w:rPr>
        <w:t>kurikulum) prema planu i programu koje je donijelo Ministarstvo znanost i, obrazovanja.</w:t>
      </w: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Strateške planove donose: Ministarstvo znanosti i obrazovanja  te županije (razvojne strategije), osnivači dijela škola. Vertikalna usklađivanja ciljeva i programa Ministarstva znanosti, i obrazovanja odnosno županija s ciljevima i programima škola još nisu provedena zato se u obrazloženju financijskog plana ne navodi ovaj dio.</w:t>
      </w: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Također planovi se donose za školsku, a ne fiskalnu godinu, to je uzrok mnogim odstupanjima u izvršenju financijskih planova, odnosno pomak određenih aktivnosti iz jednog u drugo polugodište uzrokuje promjene u izvršenju financijskog plana za dvije fiskalne godine.</w:t>
      </w: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2D032C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iCs/>
        </w:rPr>
      </w:pPr>
      <w:r w:rsidRPr="005B7B03">
        <w:rPr>
          <w:rFonts w:ascii="Book Antiqua" w:hAnsi="Book Antiqua" w:cs="Times New Roman"/>
          <w:b/>
          <w:iCs/>
        </w:rPr>
        <w:lastRenderedPageBreak/>
        <w:t>Ciljevi provedbe programa u trogodišnjem razdoblju i pokazatelji uspješnosti kojima će se mjeriti ostvarenje tih ciljeva</w:t>
      </w:r>
    </w:p>
    <w:p w:rsidR="005B7B03" w:rsidRPr="005B7B03" w:rsidRDefault="005B7B03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iCs/>
        </w:rPr>
      </w:pPr>
    </w:p>
    <w:p w:rsidR="002D032C" w:rsidRPr="00A06DAF" w:rsidRDefault="002D03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Prioritet škole je kvalitetno obrazovanje i odgoj učenika što ostvarujemo:</w:t>
      </w:r>
    </w:p>
    <w:p w:rsidR="002D032C" w:rsidRPr="00A06DAF" w:rsidRDefault="002D032C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stalnim usavršavanjem nastavnika (seminari, stručni skupovi), praćenjem metodičkih, informatičkih i drugih trendova u odgoju i obrazovanju te podizanjem nastavnog standarda na višu razinu,</w:t>
      </w:r>
    </w:p>
    <w:p w:rsidR="002D032C" w:rsidRPr="00A06DAF" w:rsidRDefault="002D032C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 xml:space="preserve"> poticanjem učenika na izražavanje kreativnosti, nadarenosti i sposobnosti kroz uključivanje u slobodne aktivnosti, natjecanja, sudjelovanja na literarnim i likovnim natječajima, kroz školske projekte, priredbe te manifestacije u školi i šire,</w:t>
      </w:r>
    </w:p>
    <w:p w:rsidR="002D032C" w:rsidRPr="00A06DAF" w:rsidRDefault="002D032C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poticanje za sudjelovanje na sportskim aktivnostima, uključivanje kroz natjecanja na školskoj razini i šire,</w:t>
      </w:r>
    </w:p>
    <w:p w:rsidR="002D032C" w:rsidRPr="00A06DAF" w:rsidRDefault="002D032C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poticanje otvorene komunikacije povećanjem uključenosti obitelji, lokalne zajednice, socijalnih i drugih partnera u jačanju preventivne uloge škole naspram društveno neprihvatljivih oblika ponašanja,</w:t>
      </w:r>
    </w:p>
    <w:p w:rsidR="002D032C" w:rsidRPr="00A06DAF" w:rsidRDefault="002D032C" w:rsidP="0089709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razvijanje navike cjeloživotnog učenja, usvajanje zdravih životnih navika, razvoj kompletne mlade osobe s razvijenim samopoštovanjem i građanskom sviješću,</w:t>
      </w:r>
    </w:p>
    <w:p w:rsidR="00081072" w:rsidRPr="00A06DAF" w:rsidRDefault="00081072" w:rsidP="0089709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081072" w:rsidRPr="00081072" w:rsidRDefault="00CA1CB2" w:rsidP="00081072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</w:rPr>
      </w:pPr>
      <w:r w:rsidRPr="00081072">
        <w:rPr>
          <w:rFonts w:ascii="Book Antiqua" w:hAnsi="Book Antiqua" w:cs="Times New Roman"/>
          <w:b/>
        </w:rPr>
        <w:t xml:space="preserve">                                   </w:t>
      </w:r>
      <w:r w:rsidR="002D032C" w:rsidRPr="00081072">
        <w:rPr>
          <w:rFonts w:ascii="Book Antiqua" w:hAnsi="Book Antiqua" w:cs="Times New Roman"/>
          <w:b/>
        </w:rPr>
        <w:t>Pokazatelji uspješnosti</w:t>
      </w:r>
    </w:p>
    <w:p w:rsidR="00081072" w:rsidRDefault="00081072" w:rsidP="002D032C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tbl>
      <w:tblPr>
        <w:tblStyle w:val="Tamnatablicareetke5-isticanje1"/>
        <w:tblW w:w="0" w:type="auto"/>
        <w:tblLook w:val="04A0" w:firstRow="1" w:lastRow="0" w:firstColumn="1" w:lastColumn="0" w:noHBand="0" w:noVBand="1"/>
      </w:tblPr>
      <w:tblGrid>
        <w:gridCol w:w="1401"/>
        <w:gridCol w:w="1522"/>
        <w:gridCol w:w="1035"/>
        <w:gridCol w:w="1243"/>
        <w:gridCol w:w="1361"/>
        <w:gridCol w:w="1243"/>
        <w:gridCol w:w="1243"/>
      </w:tblGrid>
      <w:tr w:rsidR="00081072" w:rsidRPr="00A06DAF" w:rsidTr="002A3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Pokazatelj rezultata</w:t>
            </w:r>
          </w:p>
        </w:tc>
        <w:tc>
          <w:tcPr>
            <w:tcW w:w="1347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Definicija</w:t>
            </w:r>
          </w:p>
        </w:tc>
        <w:tc>
          <w:tcPr>
            <w:tcW w:w="92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Jedinica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Polazna vrijednost</w:t>
            </w:r>
          </w:p>
        </w:tc>
        <w:tc>
          <w:tcPr>
            <w:tcW w:w="1208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Ciljana vrijednost (202</w:t>
            </w:r>
            <w:r>
              <w:rPr>
                <w:rFonts w:ascii="Book Antiqua" w:hAnsi="Book Antiqua" w:cs="Times New Roman"/>
              </w:rPr>
              <w:t>2</w:t>
            </w:r>
            <w:r w:rsidRPr="00A06DAF">
              <w:rPr>
                <w:rFonts w:ascii="Book Antiqua" w:hAnsi="Book Antiqua" w:cs="Times New Roman"/>
              </w:rPr>
              <w:t>.)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Ciljana vrijednost (202</w:t>
            </w:r>
            <w:r>
              <w:rPr>
                <w:rFonts w:ascii="Book Antiqua" w:hAnsi="Book Antiqua" w:cs="Times New Roman"/>
              </w:rPr>
              <w:t>3</w:t>
            </w:r>
            <w:r w:rsidRPr="00A06DAF">
              <w:rPr>
                <w:rFonts w:ascii="Book Antiqua" w:hAnsi="Book Antiqua" w:cs="Times New Roman"/>
              </w:rPr>
              <w:t>.)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Ciljana vrijednost (202</w:t>
            </w:r>
            <w:r>
              <w:rPr>
                <w:rFonts w:ascii="Book Antiqua" w:hAnsi="Book Antiqua" w:cs="Times New Roman"/>
              </w:rPr>
              <w:t>4</w:t>
            </w:r>
            <w:r w:rsidRPr="00A06DAF">
              <w:rPr>
                <w:rFonts w:ascii="Book Antiqua" w:hAnsi="Book Antiqua" w:cs="Times New Roman"/>
              </w:rPr>
              <w:t>.)</w:t>
            </w:r>
          </w:p>
        </w:tc>
      </w:tr>
      <w:tr w:rsidR="00081072" w:rsidRPr="00A06DAF" w:rsidTr="002A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Uvođenje grupa dodatne nastave iz pojedinih predmeta</w:t>
            </w:r>
          </w:p>
        </w:tc>
        <w:tc>
          <w:tcPr>
            <w:tcW w:w="1347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Učenicima je omogućeno dodatno  proširenje znanja iz određenih područja.</w:t>
            </w:r>
          </w:p>
        </w:tc>
        <w:tc>
          <w:tcPr>
            <w:tcW w:w="92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Grupe dodatne nastave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grupa</w:t>
            </w:r>
          </w:p>
        </w:tc>
        <w:tc>
          <w:tcPr>
            <w:tcW w:w="1208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1 grupa dodatne nastave - informatika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1 grupa dodatne nastave – biologija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1 grupa dodatne nastave – kemija</w:t>
            </w:r>
          </w:p>
        </w:tc>
      </w:tr>
      <w:tr w:rsidR="00081072" w:rsidRPr="00A06DAF" w:rsidTr="002A3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Povećati uključenost učenika u školske projekte</w:t>
            </w:r>
          </w:p>
        </w:tc>
        <w:tc>
          <w:tcPr>
            <w:tcW w:w="1347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Poticati učenike na kreativnost, slobodu izražavanja.</w:t>
            </w:r>
          </w:p>
        </w:tc>
        <w:tc>
          <w:tcPr>
            <w:tcW w:w="92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 xml:space="preserve">Broj 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30</w:t>
            </w:r>
          </w:p>
        </w:tc>
        <w:tc>
          <w:tcPr>
            <w:tcW w:w="1208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100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180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370</w:t>
            </w:r>
          </w:p>
        </w:tc>
      </w:tr>
      <w:tr w:rsidR="00081072" w:rsidRPr="00A06DAF" w:rsidTr="002A3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Povećati uključenost učenika u zbor i orkestar škole</w:t>
            </w:r>
          </w:p>
        </w:tc>
        <w:tc>
          <w:tcPr>
            <w:tcW w:w="1347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Poticati učenike na izražavanje glazbenog talenta</w:t>
            </w:r>
          </w:p>
        </w:tc>
        <w:tc>
          <w:tcPr>
            <w:tcW w:w="92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 xml:space="preserve">Broj 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1208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35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50</w:t>
            </w:r>
          </w:p>
        </w:tc>
      </w:tr>
      <w:tr w:rsidR="00081072" w:rsidRPr="00A06DAF" w:rsidTr="002A3F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Povećati uključenost učenika u programe lokalne zajednice</w:t>
            </w:r>
          </w:p>
        </w:tc>
        <w:tc>
          <w:tcPr>
            <w:tcW w:w="1347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Razvijanje građanske svijesti i odgovornosti za kvalitetu lokalne zajednice kod učenika.</w:t>
            </w:r>
          </w:p>
        </w:tc>
        <w:tc>
          <w:tcPr>
            <w:tcW w:w="92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Broj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208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25</w:t>
            </w:r>
          </w:p>
        </w:tc>
        <w:tc>
          <w:tcPr>
            <w:tcW w:w="1106" w:type="dxa"/>
          </w:tcPr>
          <w:p w:rsidR="00081072" w:rsidRPr="00A06DAF" w:rsidRDefault="00081072" w:rsidP="002A3F1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06DAF">
              <w:rPr>
                <w:rFonts w:ascii="Book Antiqua" w:hAnsi="Book Antiqua" w:cs="Times New Roman"/>
              </w:rPr>
              <w:t>40</w:t>
            </w:r>
          </w:p>
        </w:tc>
      </w:tr>
    </w:tbl>
    <w:p w:rsidR="00081072" w:rsidRPr="002D032C" w:rsidRDefault="00081072" w:rsidP="002D032C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D032C" w:rsidRPr="002D032C" w:rsidRDefault="002D032C" w:rsidP="002D032C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2D032C" w:rsidRPr="002D032C" w:rsidRDefault="002D032C" w:rsidP="0089709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D032C">
        <w:rPr>
          <w:rFonts w:ascii="Book Antiqua" w:hAnsi="Book Antiqua" w:cs="Times New Roman"/>
        </w:rPr>
        <w:lastRenderedPageBreak/>
        <w:t>Sudjelovanje na projektima, sportska natjecanja, izvannastavne aktivnosti i</w:t>
      </w:r>
    </w:p>
    <w:p w:rsidR="002D032C" w:rsidRPr="00EA7938" w:rsidRDefault="002D032C" w:rsidP="0089709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D032C">
        <w:rPr>
          <w:rFonts w:ascii="Book Antiqua" w:hAnsi="Book Antiqua" w:cs="Times New Roman"/>
        </w:rPr>
        <w:t xml:space="preserve">ostalo detaljno su razrađeni unutar školskog Kurikuluma koji </w:t>
      </w:r>
      <w:r w:rsidR="00EA7938">
        <w:rPr>
          <w:rFonts w:ascii="Book Antiqua" w:hAnsi="Book Antiqua" w:cs="Times New Roman"/>
        </w:rPr>
        <w:t>s</w:t>
      </w:r>
      <w:r w:rsidRPr="002D032C">
        <w:rPr>
          <w:rFonts w:ascii="Book Antiqua" w:hAnsi="Book Antiqua" w:cs="Times New Roman"/>
        </w:rPr>
        <w:t>e može dobiti na uvid i</w:t>
      </w:r>
      <w:r w:rsidR="00EA7938">
        <w:rPr>
          <w:rFonts w:ascii="Book Antiqua" w:hAnsi="Book Antiqua" w:cs="Times New Roman"/>
        </w:rPr>
        <w:t xml:space="preserve"> </w:t>
      </w:r>
      <w:r w:rsidRPr="00EA7938">
        <w:rPr>
          <w:rFonts w:ascii="Book Antiqua" w:hAnsi="Book Antiqua" w:cs="Times New Roman"/>
        </w:rPr>
        <w:t>koji je objavljen na web stranicama škole. Unutar razvojnog plana škole, koji je</w:t>
      </w:r>
    </w:p>
    <w:p w:rsidR="002D032C" w:rsidRPr="002D032C" w:rsidRDefault="002D032C" w:rsidP="0089709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D032C">
        <w:rPr>
          <w:rFonts w:ascii="Book Antiqua" w:hAnsi="Book Antiqua" w:cs="Times New Roman"/>
        </w:rPr>
        <w:t xml:space="preserve">sastavni dio planiranja školskog kurikuluma i osnova sa </w:t>
      </w:r>
      <w:proofErr w:type="spellStart"/>
      <w:r w:rsidRPr="002D032C">
        <w:rPr>
          <w:rFonts w:ascii="Book Antiqua" w:hAnsi="Book Antiqua" w:cs="Times New Roman"/>
        </w:rPr>
        <w:t>samovrednovanje</w:t>
      </w:r>
      <w:proofErr w:type="spellEnd"/>
      <w:r w:rsidRPr="002D032C">
        <w:rPr>
          <w:rFonts w:ascii="Book Antiqua" w:hAnsi="Book Antiqua" w:cs="Times New Roman"/>
        </w:rPr>
        <w:t xml:space="preserve"> rada</w:t>
      </w:r>
    </w:p>
    <w:p w:rsidR="002D032C" w:rsidRPr="002D032C" w:rsidRDefault="002D032C" w:rsidP="0089709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D032C">
        <w:rPr>
          <w:rFonts w:ascii="Book Antiqua" w:hAnsi="Book Antiqua" w:cs="Times New Roman"/>
        </w:rPr>
        <w:t>škole, za školsku 20</w:t>
      </w:r>
      <w:r w:rsidR="00EA7938">
        <w:rPr>
          <w:rFonts w:ascii="Book Antiqua" w:hAnsi="Book Antiqua" w:cs="Times New Roman"/>
        </w:rPr>
        <w:t>2</w:t>
      </w:r>
      <w:r w:rsidR="00C708B4">
        <w:rPr>
          <w:rFonts w:ascii="Book Antiqua" w:hAnsi="Book Antiqua" w:cs="Times New Roman"/>
        </w:rPr>
        <w:t>2</w:t>
      </w:r>
      <w:r w:rsidRPr="002D032C">
        <w:rPr>
          <w:rFonts w:ascii="Book Antiqua" w:hAnsi="Book Antiqua" w:cs="Times New Roman"/>
        </w:rPr>
        <w:t>./202</w:t>
      </w:r>
      <w:r w:rsidR="00C708B4">
        <w:rPr>
          <w:rFonts w:ascii="Book Antiqua" w:hAnsi="Book Antiqua" w:cs="Times New Roman"/>
        </w:rPr>
        <w:t>3</w:t>
      </w:r>
      <w:r w:rsidRPr="002D032C">
        <w:rPr>
          <w:rFonts w:ascii="Book Antiqua" w:hAnsi="Book Antiqua" w:cs="Times New Roman"/>
        </w:rPr>
        <w:t>. godinu raditi će na razvijanju znanja i vještine iz</w:t>
      </w:r>
    </w:p>
    <w:p w:rsidR="002D032C" w:rsidRPr="002D032C" w:rsidRDefault="002D032C" w:rsidP="0089709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2D032C">
        <w:rPr>
          <w:rFonts w:ascii="Book Antiqua" w:hAnsi="Book Antiqua" w:cs="Times New Roman"/>
        </w:rPr>
        <w:t xml:space="preserve">nastavnih predmeta </w:t>
      </w:r>
      <w:r w:rsidR="00EA7938">
        <w:rPr>
          <w:rFonts w:ascii="Book Antiqua" w:hAnsi="Book Antiqua" w:cs="Times New Roman"/>
        </w:rPr>
        <w:t>STEM područja</w:t>
      </w:r>
      <w:r w:rsidRPr="002D032C">
        <w:rPr>
          <w:rFonts w:ascii="Book Antiqua" w:hAnsi="Book Antiqua" w:cs="Times New Roman"/>
        </w:rPr>
        <w:t xml:space="preserve">; </w:t>
      </w:r>
      <w:r w:rsidR="00081072">
        <w:rPr>
          <w:rFonts w:ascii="Book Antiqua" w:hAnsi="Book Antiqua" w:cs="Times New Roman"/>
        </w:rPr>
        <w:t xml:space="preserve">kvalitetnijem </w:t>
      </w:r>
      <w:r w:rsidRPr="002D032C">
        <w:rPr>
          <w:rFonts w:ascii="Book Antiqua" w:hAnsi="Book Antiqua" w:cs="Times New Roman"/>
        </w:rPr>
        <w:t>odnosu učitelja, roditelja i škole;</w:t>
      </w:r>
    </w:p>
    <w:p w:rsidR="002D032C" w:rsidRDefault="002D032C" w:rsidP="00A373C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FF0000"/>
        </w:rPr>
      </w:pPr>
      <w:r w:rsidRPr="002D032C">
        <w:rPr>
          <w:rFonts w:ascii="Book Antiqua" w:hAnsi="Book Antiqua" w:cs="Times New Roman"/>
        </w:rPr>
        <w:t>vrednovanju učeničkog napretka i postignuća te poboljšanju materijalnih uvjeta rada i</w:t>
      </w:r>
      <w:r>
        <w:rPr>
          <w:rFonts w:ascii="Book Antiqua" w:hAnsi="Book Antiqua" w:cs="Times New Roman"/>
        </w:rPr>
        <w:t xml:space="preserve"> </w:t>
      </w:r>
      <w:r w:rsidRPr="002D032C">
        <w:rPr>
          <w:rFonts w:ascii="Book Antiqua" w:hAnsi="Book Antiqua" w:cs="Times New Roman"/>
        </w:rPr>
        <w:t>opremljenosti škole.</w:t>
      </w:r>
      <w:r w:rsidR="00081072">
        <w:rPr>
          <w:rFonts w:ascii="Book Antiqua" w:hAnsi="Book Antiqua" w:cs="Times New Roman"/>
        </w:rPr>
        <w:t xml:space="preserve"> Sve učionice opremljene su računalima i projektorima. </w:t>
      </w:r>
    </w:p>
    <w:p w:rsidR="00A373C8" w:rsidRPr="002D032C" w:rsidRDefault="00A373C8" w:rsidP="00A373C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2D032C" w:rsidRPr="002D032C" w:rsidRDefault="002D032C" w:rsidP="002D032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  <w:r w:rsidRPr="002D032C">
        <w:rPr>
          <w:rFonts w:ascii="Book Antiqua" w:hAnsi="Book Antiqua" w:cs="Times New Roman"/>
          <w:b/>
          <w:bCs/>
          <w:color w:val="2E74B5" w:themeColor="accent1" w:themeShade="BF"/>
        </w:rPr>
        <w:t>ISHODIŠTA I POKAZATELJI NA KOJIMA SE ZASNIVAJU IZRAČUNI I</w:t>
      </w:r>
    </w:p>
    <w:p w:rsidR="002D032C" w:rsidRDefault="002D032C" w:rsidP="002D032C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  <w:r w:rsidRPr="002D032C">
        <w:rPr>
          <w:rFonts w:ascii="Book Antiqua" w:hAnsi="Book Antiqua" w:cs="Times New Roman"/>
          <w:b/>
          <w:bCs/>
          <w:color w:val="2E74B5" w:themeColor="accent1" w:themeShade="BF"/>
        </w:rPr>
        <w:t>OCJENE POTEBNIH SREDSTAVA ZA PROVOĐENJE PROGRAMA</w:t>
      </w:r>
    </w:p>
    <w:p w:rsidR="002D032C" w:rsidRPr="00081072" w:rsidRDefault="002D032C" w:rsidP="00081072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2D032C" w:rsidRDefault="002D032C" w:rsidP="002D032C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2D032C" w:rsidRPr="00A06DAF" w:rsidRDefault="002D032C" w:rsidP="002D03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Izvori sredstava za financiranje rada OŠ Miroslava Krleže  su :</w:t>
      </w:r>
    </w:p>
    <w:p w:rsidR="002D032C" w:rsidRDefault="002D032C" w:rsidP="002D032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Opći prihodi i primitci, skupina 636, državni proračun( MZO) za financiranje rashoda za zaposlene;</w:t>
      </w:r>
    </w:p>
    <w:p w:rsidR="00C708B4" w:rsidRPr="00A06DAF" w:rsidRDefault="00C708B4" w:rsidP="002D032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Prihodi na skupini 636 odnose se na prihode Općine Čepin za financiranje projekta „Školski obrok za sve“, nabavu radnih bilježnica i pomoćnog materijala za učenike te sufinanciranje „Produženog boravka“ </w:t>
      </w:r>
    </w:p>
    <w:p w:rsidR="002D032C" w:rsidRPr="00A06DAF" w:rsidRDefault="002D032C" w:rsidP="002D032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Opći prihodi i primitci, skupina 671, lokalni proračun (Osječko-Baranjska županija) za materijalne i financijske troškove poslovanja te održavanje i obnovu nefinancijske imovine;</w:t>
      </w:r>
    </w:p>
    <w:p w:rsidR="002D032C" w:rsidRPr="00A06DAF" w:rsidRDefault="002D032C" w:rsidP="002D032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Vlastiti prihodi od iznajmljivanja prostora, skupina 661, za provedbu dodatnih aktivnosti škole prema Godišnjem planu i programu rada te obnovu nefinancijske imovine;</w:t>
      </w:r>
    </w:p>
    <w:p w:rsidR="002D032C" w:rsidRPr="00A06DAF" w:rsidRDefault="002D032C" w:rsidP="002D032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Prihodi po posebnim propisima sastoje se od prihoda , uplate roditelja za provedbu dodatnih programa rada unutar školskog kurikuluma (ekskurzije, škola u prirodi, kazalište i kino);</w:t>
      </w:r>
    </w:p>
    <w:p w:rsidR="002D032C" w:rsidRPr="00A06DAF" w:rsidRDefault="002D032C" w:rsidP="002D032C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Pomoći od Županije Osječko-Baranjske u projektima i programima vezani za provedbu na županijskoj razini;</w:t>
      </w:r>
    </w:p>
    <w:p w:rsidR="00EA7938" w:rsidRPr="00EA7938" w:rsidRDefault="00EA7938" w:rsidP="00EA793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D032C" w:rsidRPr="00A06DAF" w:rsidRDefault="002D032C" w:rsidP="002D03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2D032C" w:rsidRPr="00A06DAF" w:rsidRDefault="002D032C" w:rsidP="002D03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  <w:r w:rsidRPr="00A06DAF">
        <w:rPr>
          <w:rFonts w:ascii="Book Antiqua" w:hAnsi="Book Antiqua" w:cs="Times New Roman"/>
          <w:b/>
          <w:bCs/>
        </w:rPr>
        <w:t>PRIHODI IZ DRŽAVNOG PRORAČUNA</w:t>
      </w:r>
    </w:p>
    <w:p w:rsidR="002D032C" w:rsidRPr="00A06DAF" w:rsidRDefault="002D032C" w:rsidP="002D03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2D032C" w:rsidRPr="00A06DAF" w:rsidRDefault="002D032C" w:rsidP="00897093">
      <w:pPr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 xml:space="preserve">              </w:t>
      </w:r>
      <w:r w:rsidR="00531ABF">
        <w:rPr>
          <w:rFonts w:ascii="Book Antiqua" w:hAnsi="Book Antiqua" w:cs="Times New Roman"/>
        </w:rPr>
        <w:t>Financijski plan za 202</w:t>
      </w:r>
      <w:r w:rsidR="00FC268D">
        <w:rPr>
          <w:rFonts w:ascii="Book Antiqua" w:hAnsi="Book Antiqua" w:cs="Times New Roman"/>
        </w:rPr>
        <w:t>3</w:t>
      </w:r>
      <w:r w:rsidRPr="00A06DAF">
        <w:rPr>
          <w:rFonts w:ascii="Book Antiqua" w:hAnsi="Book Antiqua" w:cs="Times New Roman"/>
        </w:rPr>
        <w:t>. godinu planirali smo na temelju limita koji nam je dostavio Upravni odjel za javne fina</w:t>
      </w:r>
      <w:r w:rsidR="00EF320E">
        <w:rPr>
          <w:rFonts w:ascii="Book Antiqua" w:hAnsi="Book Antiqua" w:cs="Times New Roman"/>
        </w:rPr>
        <w:t>ncije.</w:t>
      </w:r>
      <w:r w:rsidRPr="00A06DAF">
        <w:rPr>
          <w:rFonts w:ascii="Book Antiqua" w:hAnsi="Book Antiqua" w:cs="Times New Roman"/>
        </w:rPr>
        <w:t xml:space="preserve"> Planirali smo namjenske rashode koji se planiraju na osnovi potrošnje tekuće godine, </w:t>
      </w:r>
      <w:proofErr w:type="spellStart"/>
      <w:r w:rsidRPr="00A06DAF">
        <w:rPr>
          <w:rFonts w:ascii="Book Antiqua" w:hAnsi="Book Antiqua" w:cs="Times New Roman"/>
        </w:rPr>
        <w:t>tj</w:t>
      </w:r>
      <w:proofErr w:type="spellEnd"/>
      <w:r w:rsidRPr="00A06DAF">
        <w:rPr>
          <w:rFonts w:ascii="Book Antiqua" w:hAnsi="Book Antiqua" w:cs="Times New Roman"/>
        </w:rPr>
        <w:t>, energenti, rashodi za zdravstveni pregled djelatnika. Usluge tekućeg održavanja građevinskih objekata, postrojenja i opreme, komunalne naknade i pedagošku dokumentaciju.</w:t>
      </w:r>
    </w:p>
    <w:p w:rsidR="002D032C" w:rsidRPr="00A06DAF" w:rsidRDefault="002D032C" w:rsidP="00897093">
      <w:pPr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 xml:space="preserve">              Rashodi općih troškova planirani su prema prioritetima funkcioniranja škole.</w:t>
      </w:r>
    </w:p>
    <w:p w:rsidR="002D032C" w:rsidRPr="00A06DAF" w:rsidRDefault="002D032C" w:rsidP="00897093">
      <w:pPr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 xml:space="preserve">              Vlastiti prihodi čine prihodi iznajmljivanja sportske dvorane i prihodi sakupljanja starog papira. Prihodi se koriste prvenstveno za redovito poslovanje, te financiranje aktivnosti iz Godišnjeg plana i programa rada škole.</w:t>
      </w:r>
    </w:p>
    <w:p w:rsidR="00EA7938" w:rsidRPr="00A06DAF" w:rsidRDefault="00897093" w:rsidP="00897093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  </w:t>
      </w:r>
    </w:p>
    <w:p w:rsidR="002D032C" w:rsidRPr="00A06DAF" w:rsidRDefault="002D032C" w:rsidP="002D03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  <w:r w:rsidRPr="00A06DAF">
        <w:rPr>
          <w:rFonts w:ascii="Book Antiqua" w:hAnsi="Book Antiqua" w:cs="Times New Roman"/>
          <w:b/>
          <w:bCs/>
        </w:rPr>
        <w:t>PRIHODI OD ŽUPANIJE</w:t>
      </w:r>
    </w:p>
    <w:p w:rsidR="002D032C" w:rsidRPr="00A06DAF" w:rsidRDefault="002D032C" w:rsidP="002D032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</w:rPr>
      </w:pP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Prihode za financiranje rashoda, koji se financiraju minimalnim standardima,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planirali smo primjenom financijskih pokazatelja iz uputa za izradu proračuna što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lastRenderedPageBreak/>
        <w:t>znači kako smo primijenili zadane indekse.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Od tako dobivenih vrijednosti prihoda prvo smo predvidjeli namjenske rashode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koji se planiraju na osnovi potrošnje tekuće godine, tj. troškovi energije, rashod za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zdravstveni pregled zaposlenika, prijevoz učenika, usluge tekućeg održavanja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građevinskih objekata, postrojenja i opreme, komunalne naknade i pedagošku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dokumentaciju.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Rashodi iz kategorije općih troškova prvo smo planirali obvezne rashode za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komunalne usluge, rashode za telefon, bankarske usluge i usluge platnog prometa te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obveznu pedagošku dokumentaciju i materijal. Nakon toga planiramo ostale troškove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prema prioritetima funkcioniranja škole.</w:t>
      </w:r>
    </w:p>
    <w:p w:rsidR="002D032C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Škola prima prihode od  Županije i Općine Čepin  za financiranje programa</w:t>
      </w:r>
      <w:r w:rsidR="00897093">
        <w:rPr>
          <w:rFonts w:ascii="Book Antiqua" w:hAnsi="Book Antiqua" w:cs="Times New Roman"/>
        </w:rPr>
        <w:t xml:space="preserve">  „Pomoćnici u nastavi </w:t>
      </w:r>
      <w:r w:rsidR="00FC268D">
        <w:rPr>
          <w:rFonts w:ascii="Book Antiqua" w:hAnsi="Book Antiqua" w:cs="Times New Roman"/>
        </w:rPr>
        <w:t>6</w:t>
      </w:r>
      <w:r w:rsidRPr="00A06DAF">
        <w:rPr>
          <w:rFonts w:ascii="Book Antiqua" w:hAnsi="Book Antiqua" w:cs="Times New Roman"/>
        </w:rPr>
        <w:t xml:space="preserve">“ </w:t>
      </w:r>
      <w:r w:rsidR="007B68AF">
        <w:rPr>
          <w:rFonts w:ascii="Book Antiqua" w:hAnsi="Book Antiqua" w:cs="Times New Roman"/>
        </w:rPr>
        <w:t>i Produženi boravak</w:t>
      </w:r>
      <w:r w:rsidRPr="00A06DAF">
        <w:rPr>
          <w:rFonts w:ascii="Book Antiqua" w:hAnsi="Book Antiqua" w:cs="Times New Roman"/>
        </w:rPr>
        <w:t>.</w:t>
      </w:r>
      <w:r w:rsidR="002478DE">
        <w:rPr>
          <w:rFonts w:ascii="Book Antiqua" w:hAnsi="Book Antiqua" w:cs="Times New Roman"/>
        </w:rPr>
        <w:t xml:space="preserve"> </w:t>
      </w:r>
    </w:p>
    <w:p w:rsidR="002478DE" w:rsidRDefault="002478DE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U školskoj godini 2022./23. planirana je organizacija Županijskog natjecanja iz tehničke kulture.</w:t>
      </w:r>
    </w:p>
    <w:p w:rsidR="002478DE" w:rsidRPr="00A06DAF" w:rsidRDefault="002478DE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Na inicijativu Vijeća roditelja prići će se organizaciji produženog boravka u školi uz financiranje Osječko-baranjske županije i Općine Čepin. Time se pobolj</w:t>
      </w:r>
      <w:r w:rsidR="008E3A8C">
        <w:rPr>
          <w:rFonts w:ascii="Book Antiqua" w:hAnsi="Book Antiqua" w:cs="Times New Roman"/>
        </w:rPr>
        <w:t>šavaju uvjeti boravka učenika u školi kroz različite aktivnosti.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Škola sudjeluje i u programu „Školska shema voće i mlijeko“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Vlastiti prihodi čine prihodi iznajmljivanja sportske dvorane i prihod sakupljanja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sirovine starog papira. Prihodi se koriste prvenstveno za redovito poslovanje,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minimalni standard, te financiranje aktivnosti iz Godišnjeg plana i programa rada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škole.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Namjenski prihodi od sufinanciranja obuhvaćaju prihode za sufinanciranje cijene</w:t>
      </w:r>
    </w:p>
    <w:p w:rsidR="002D032C" w:rsidRPr="00A06DAF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školske kuhinje, izleta, ekskurzija, posjeta kazalištu i kino predstavama.</w:t>
      </w:r>
    </w:p>
    <w:p w:rsidR="002D032C" w:rsidRDefault="002D032C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2405BF" w:rsidRPr="00A06DAF" w:rsidRDefault="002405BF" w:rsidP="007B68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2D032C" w:rsidRPr="00897093" w:rsidRDefault="002D032C" w:rsidP="00897093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2D032C" w:rsidRPr="002D032C" w:rsidRDefault="002D032C" w:rsidP="002D032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  <w:r w:rsidRPr="002D032C">
        <w:rPr>
          <w:rFonts w:ascii="Book Antiqua" w:hAnsi="Book Antiqua" w:cs="Times New Roman"/>
          <w:b/>
          <w:bCs/>
          <w:color w:val="2E74B5" w:themeColor="accent1" w:themeShade="BF"/>
        </w:rPr>
        <w:t>IZVJEŠTAJI O POSTIGNUTIM CILJEVIMA I REZULTATIMA PROGRAMA</w:t>
      </w:r>
    </w:p>
    <w:p w:rsidR="002D032C" w:rsidRPr="002D032C" w:rsidRDefault="002D032C" w:rsidP="002D032C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  <w:r w:rsidRPr="002D032C">
        <w:rPr>
          <w:rFonts w:ascii="Book Antiqua" w:hAnsi="Book Antiqua" w:cs="Times New Roman"/>
          <w:b/>
          <w:bCs/>
          <w:color w:val="2E74B5" w:themeColor="accent1" w:themeShade="BF"/>
        </w:rPr>
        <w:t>TEMELJEM NA POKAZATELJIMA IZ NADLEŽNOSTI PRORAČUNSKOG</w:t>
      </w:r>
    </w:p>
    <w:p w:rsidR="002D032C" w:rsidRPr="002D032C" w:rsidRDefault="002D032C" w:rsidP="002D032C">
      <w:pPr>
        <w:pStyle w:val="Odlomakpopisa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2E74B5" w:themeColor="accent1" w:themeShade="BF"/>
        </w:rPr>
      </w:pPr>
      <w:r w:rsidRPr="002D032C">
        <w:rPr>
          <w:rFonts w:ascii="Book Antiqua" w:hAnsi="Book Antiqua" w:cs="Times New Roman"/>
          <w:b/>
          <w:bCs/>
          <w:color w:val="2E74B5" w:themeColor="accent1" w:themeShade="BF"/>
        </w:rPr>
        <w:t>KORISNIKA U PRETHODNOJ GODINI</w:t>
      </w:r>
    </w:p>
    <w:p w:rsidR="002D032C" w:rsidRDefault="002D032C" w:rsidP="00897093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2E74B5" w:themeColor="accent1" w:themeShade="BF"/>
        </w:rPr>
      </w:pPr>
    </w:p>
    <w:p w:rsidR="00EA7938" w:rsidRPr="00A06DAF" w:rsidRDefault="00EA7938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A06DAF">
        <w:rPr>
          <w:rFonts w:ascii="Book Antiqua" w:hAnsi="Book Antiqua" w:cs="Times New Roman"/>
        </w:rPr>
        <w:t xml:space="preserve">Školsku </w:t>
      </w:r>
      <w:r w:rsidRPr="009B39BA">
        <w:rPr>
          <w:rFonts w:ascii="Book Antiqua" w:hAnsi="Book Antiqua" w:cs="Times New Roman"/>
        </w:rPr>
        <w:t>godinu 20</w:t>
      </w:r>
      <w:r w:rsidR="00726598" w:rsidRPr="009B39BA">
        <w:rPr>
          <w:rFonts w:ascii="Book Antiqua" w:hAnsi="Book Antiqua" w:cs="Times New Roman"/>
        </w:rPr>
        <w:t>2</w:t>
      </w:r>
      <w:r w:rsidR="00FC268D" w:rsidRPr="009B39BA">
        <w:rPr>
          <w:rFonts w:ascii="Book Antiqua" w:hAnsi="Book Antiqua" w:cs="Times New Roman"/>
        </w:rPr>
        <w:t>1</w:t>
      </w:r>
      <w:r w:rsidRPr="009B39BA">
        <w:rPr>
          <w:rFonts w:ascii="Book Antiqua" w:hAnsi="Book Antiqua" w:cs="Times New Roman"/>
        </w:rPr>
        <w:t>./202</w:t>
      </w:r>
      <w:r w:rsidR="00FC268D" w:rsidRPr="009B39BA">
        <w:rPr>
          <w:rFonts w:ascii="Book Antiqua" w:hAnsi="Book Antiqua" w:cs="Times New Roman"/>
        </w:rPr>
        <w:t>2</w:t>
      </w:r>
      <w:r w:rsidRPr="009B39BA">
        <w:rPr>
          <w:rFonts w:ascii="Book Antiqua" w:hAnsi="Book Antiqua" w:cs="Times New Roman"/>
        </w:rPr>
        <w:t xml:space="preserve">. uspješno </w:t>
      </w:r>
      <w:r w:rsidRPr="00A06DAF">
        <w:rPr>
          <w:rFonts w:ascii="Book Antiqua" w:hAnsi="Book Antiqua" w:cs="Times New Roman"/>
        </w:rPr>
        <w:t xml:space="preserve">je </w:t>
      </w:r>
      <w:r w:rsidRPr="00A373C8">
        <w:rPr>
          <w:rFonts w:ascii="Book Antiqua" w:hAnsi="Book Antiqua" w:cs="Times New Roman"/>
          <w:color w:val="000000" w:themeColor="text1"/>
        </w:rPr>
        <w:t>završi</w:t>
      </w:r>
      <w:r w:rsidR="00726598" w:rsidRPr="00A373C8">
        <w:rPr>
          <w:rFonts w:ascii="Book Antiqua" w:hAnsi="Book Antiqua" w:cs="Times New Roman"/>
          <w:color w:val="000000" w:themeColor="text1"/>
        </w:rPr>
        <w:t>lo</w:t>
      </w:r>
      <w:r w:rsidRPr="00A373C8">
        <w:rPr>
          <w:rFonts w:ascii="Book Antiqua" w:hAnsi="Book Antiqua" w:cs="Times New Roman"/>
          <w:color w:val="000000" w:themeColor="text1"/>
        </w:rPr>
        <w:t xml:space="preserve"> 3</w:t>
      </w:r>
      <w:r w:rsidR="009B39BA" w:rsidRPr="00A373C8">
        <w:rPr>
          <w:rFonts w:ascii="Book Antiqua" w:hAnsi="Book Antiqua" w:cs="Times New Roman"/>
          <w:color w:val="000000" w:themeColor="text1"/>
        </w:rPr>
        <w:t>9</w:t>
      </w:r>
      <w:r w:rsidR="00726598" w:rsidRPr="00A373C8">
        <w:rPr>
          <w:rFonts w:ascii="Book Antiqua" w:hAnsi="Book Antiqua" w:cs="Times New Roman"/>
          <w:color w:val="000000" w:themeColor="text1"/>
        </w:rPr>
        <w:t>0</w:t>
      </w:r>
      <w:r w:rsidRPr="00A373C8">
        <w:rPr>
          <w:rFonts w:ascii="Book Antiqua" w:hAnsi="Book Antiqua" w:cs="Times New Roman"/>
          <w:color w:val="000000" w:themeColor="text1"/>
        </w:rPr>
        <w:t xml:space="preserve"> </w:t>
      </w:r>
      <w:r w:rsidRPr="00A06DAF">
        <w:rPr>
          <w:rFonts w:ascii="Book Antiqua" w:hAnsi="Book Antiqua" w:cs="Times New Roman"/>
          <w:color w:val="000000" w:themeColor="text1"/>
        </w:rPr>
        <w:t>učenik</w:t>
      </w:r>
      <w:r w:rsidR="00726598">
        <w:rPr>
          <w:rFonts w:ascii="Book Antiqua" w:hAnsi="Book Antiqua" w:cs="Times New Roman"/>
          <w:color w:val="000000" w:themeColor="text1"/>
        </w:rPr>
        <w:t>a</w:t>
      </w:r>
      <w:r w:rsidRPr="00A06DAF">
        <w:rPr>
          <w:rFonts w:ascii="Book Antiqua" w:hAnsi="Book Antiqua" w:cs="Times New Roman"/>
          <w:color w:val="000000" w:themeColor="text1"/>
        </w:rPr>
        <w:t>.</w:t>
      </w:r>
    </w:p>
    <w:p w:rsidR="00EA7938" w:rsidRPr="00A06DAF" w:rsidRDefault="00EA7938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A06DAF">
        <w:rPr>
          <w:rFonts w:ascii="Book Antiqua" w:hAnsi="Book Antiqua" w:cs="Times New Roman"/>
          <w:color w:val="000000" w:themeColor="text1"/>
        </w:rPr>
        <w:t xml:space="preserve">Na županijskim natjecanjima sudjelovao je </w:t>
      </w:r>
      <w:r w:rsidR="009B39BA">
        <w:rPr>
          <w:rFonts w:ascii="Book Antiqua" w:hAnsi="Book Antiqua" w:cs="Times New Roman"/>
          <w:color w:val="000000" w:themeColor="text1"/>
        </w:rPr>
        <w:t>29</w:t>
      </w:r>
      <w:r w:rsidRPr="00A06DAF">
        <w:rPr>
          <w:rFonts w:ascii="Book Antiqua" w:hAnsi="Book Antiqua" w:cs="Times New Roman"/>
          <w:color w:val="000000" w:themeColor="text1"/>
        </w:rPr>
        <w:t xml:space="preserve"> učenika, a na državnom natjecanju 1 učeni</w:t>
      </w:r>
      <w:r w:rsidR="00726598">
        <w:rPr>
          <w:rFonts w:ascii="Book Antiqua" w:hAnsi="Book Antiqua" w:cs="Times New Roman"/>
          <w:color w:val="000000" w:themeColor="text1"/>
        </w:rPr>
        <w:t>k</w:t>
      </w:r>
      <w:r w:rsidRPr="00A06DAF">
        <w:rPr>
          <w:rFonts w:ascii="Book Antiqua" w:hAnsi="Book Antiqua" w:cs="Times New Roman"/>
          <w:color w:val="000000" w:themeColor="text1"/>
        </w:rPr>
        <w:t>, a učenici od prvog do osmog razreda redovito su sudjelovali i u likovnim te literarnim natječajima.</w:t>
      </w:r>
    </w:p>
    <w:p w:rsidR="00EA7938" w:rsidRPr="00A06DAF" w:rsidRDefault="00EA7938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A06DAF">
        <w:rPr>
          <w:rFonts w:ascii="Book Antiqua" w:hAnsi="Book Antiqua" w:cs="Times New Roman"/>
          <w:color w:val="000000" w:themeColor="text1"/>
        </w:rPr>
        <w:t>Provedena je školska razina matematičkog natjecanja Klokan bez granica.</w:t>
      </w:r>
    </w:p>
    <w:p w:rsidR="00EA7938" w:rsidRPr="00A06DAF" w:rsidRDefault="00EA7938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A06DAF">
        <w:rPr>
          <w:rFonts w:ascii="Book Antiqua" w:hAnsi="Book Antiqua" w:cs="Times New Roman"/>
          <w:color w:val="000000" w:themeColor="text1"/>
        </w:rPr>
        <w:t>Uspješno je provedena Večer matematike na kojoj je sudjelovalo 180 učenika.</w:t>
      </w:r>
    </w:p>
    <w:p w:rsidR="00EA7938" w:rsidRPr="00A06DAF" w:rsidRDefault="00EA7938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 xml:space="preserve">Ostvarena je suradnja i s vanjskim institucijama: Policijskom upravom osječko-baranjskom, Hrvatskim autoklubom, Centrom za informiranje i savjetovanje o karijeri, Zavodom za javno zdravstvo osječko-baranjske županije, </w:t>
      </w:r>
      <w:proofErr w:type="spellStart"/>
      <w:r w:rsidRPr="00A06DAF">
        <w:rPr>
          <w:rFonts w:ascii="Book Antiqua" w:hAnsi="Book Antiqua" w:cs="Times New Roman"/>
        </w:rPr>
        <w:t>Suvagom</w:t>
      </w:r>
      <w:proofErr w:type="spellEnd"/>
      <w:r w:rsidRPr="00A06DAF">
        <w:rPr>
          <w:rFonts w:ascii="Book Antiqua" w:hAnsi="Book Antiqua" w:cs="Times New Roman"/>
        </w:rPr>
        <w:t>, Zagreb i Centrom za kulturu - Knjižnica Čepin u obliku interaktivnih i edukativnih predavanja za učenike, roditelje i učitelje, te zajedničkom provedbom projekata.</w:t>
      </w:r>
    </w:p>
    <w:p w:rsidR="00684468" w:rsidRPr="00A06DAF" w:rsidRDefault="009B39BA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Uspješno je</w:t>
      </w:r>
      <w:r w:rsidR="00EA7938" w:rsidRPr="00A06DAF">
        <w:rPr>
          <w:rFonts w:ascii="Book Antiqua" w:hAnsi="Book Antiqua" w:cs="Times New Roman"/>
        </w:rPr>
        <w:t xml:space="preserve"> realiziran godišnji projekt škole </w:t>
      </w:r>
      <w:proofErr w:type="spellStart"/>
      <w:r>
        <w:rPr>
          <w:rFonts w:ascii="Book Antiqua" w:hAnsi="Book Antiqua" w:cs="Times New Roman"/>
        </w:rPr>
        <w:t>Krležijanci</w:t>
      </w:r>
      <w:proofErr w:type="spellEnd"/>
      <w:r>
        <w:rPr>
          <w:rFonts w:ascii="Book Antiqua" w:hAnsi="Book Antiqua" w:cs="Times New Roman"/>
        </w:rPr>
        <w:t xml:space="preserve"> </w:t>
      </w:r>
      <w:r w:rsidR="00EA7938" w:rsidRPr="00A06DAF">
        <w:rPr>
          <w:rFonts w:ascii="Book Antiqua" w:hAnsi="Book Antiqua" w:cs="Times New Roman"/>
        </w:rPr>
        <w:t>u sklopu kojeg smo ugostili brojne udruge, predstavnike institucija i brojne roditelje naših učenika.</w:t>
      </w:r>
    </w:p>
    <w:p w:rsidR="008301A0" w:rsidRPr="00A06DAF" w:rsidRDefault="008301A0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9F712C" w:rsidRPr="00A06DAF" w:rsidRDefault="008301A0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Zaposlenici su se stručno usavršavali na seminarima, stručnim aktivima.</w:t>
      </w:r>
      <w:r w:rsidR="00626E76" w:rsidRPr="00A06DAF">
        <w:rPr>
          <w:rFonts w:ascii="Book Antiqua" w:hAnsi="Book Antiqua" w:cs="Times New Roman"/>
        </w:rPr>
        <w:t xml:space="preserve"> </w:t>
      </w:r>
    </w:p>
    <w:p w:rsidR="009F712C" w:rsidRPr="00A06DAF" w:rsidRDefault="009F71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9F712C" w:rsidRPr="00A06DAF" w:rsidRDefault="009F71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Kako bi poboljšali uvijete boravka učenika u školi, škola je uključena u projekte kojima se osigurava besplatan obrok za sve učenike u školi, tjednu konzumaciju voća za sve učenike i mlijeko za učenike razredne nastave.</w:t>
      </w:r>
    </w:p>
    <w:p w:rsidR="00EA7938" w:rsidRDefault="009F712C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lastRenderedPageBreak/>
        <w:t xml:space="preserve">U školi se realiziraju </w:t>
      </w:r>
      <w:r w:rsidR="009B39BA">
        <w:rPr>
          <w:rFonts w:ascii="Book Antiqua" w:hAnsi="Book Antiqua" w:cs="Times New Roman"/>
        </w:rPr>
        <w:t>dva</w:t>
      </w:r>
      <w:r w:rsidRPr="00A06DAF">
        <w:rPr>
          <w:rFonts w:ascii="Book Antiqua" w:hAnsi="Book Antiqua" w:cs="Times New Roman"/>
        </w:rPr>
        <w:t xml:space="preserve"> takova projekta: </w:t>
      </w:r>
      <w:r w:rsidR="009B39BA">
        <w:rPr>
          <w:rFonts w:ascii="Book Antiqua" w:hAnsi="Book Antiqua" w:cs="Times New Roman"/>
        </w:rPr>
        <w:t>„</w:t>
      </w:r>
      <w:r w:rsidRPr="00A06DAF">
        <w:rPr>
          <w:rFonts w:ascii="Book Antiqua" w:hAnsi="Book Antiqua" w:cs="Times New Roman"/>
        </w:rPr>
        <w:t>Školski obrok za sve</w:t>
      </w:r>
      <w:r w:rsidR="00626E76" w:rsidRPr="00A06DAF">
        <w:rPr>
          <w:rFonts w:ascii="Book Antiqua" w:hAnsi="Book Antiqua" w:cs="Times New Roman"/>
        </w:rPr>
        <w:t xml:space="preserve"> </w:t>
      </w:r>
      <w:r w:rsidR="0018070D" w:rsidRPr="00A06DAF">
        <w:rPr>
          <w:rFonts w:ascii="Book Antiqua" w:hAnsi="Book Antiqua" w:cs="Times New Roman"/>
        </w:rPr>
        <w:t>„ u koji je uključeno 3</w:t>
      </w:r>
      <w:r w:rsidR="009B39BA">
        <w:rPr>
          <w:rFonts w:ascii="Book Antiqua" w:hAnsi="Book Antiqua" w:cs="Times New Roman"/>
        </w:rPr>
        <w:t>84</w:t>
      </w:r>
      <w:r w:rsidRPr="00A06DAF">
        <w:rPr>
          <w:rFonts w:ascii="Book Antiqua" w:hAnsi="Book Antiqua" w:cs="Times New Roman"/>
        </w:rPr>
        <w:t xml:space="preserve"> učenika, te Shema školsko </w:t>
      </w:r>
      <w:r w:rsidR="0018070D" w:rsidRPr="00A06DAF">
        <w:rPr>
          <w:rFonts w:ascii="Book Antiqua" w:hAnsi="Book Antiqua" w:cs="Times New Roman"/>
        </w:rPr>
        <w:t>voće i mlijeko koja obuhvaća 3</w:t>
      </w:r>
      <w:r w:rsidR="009B39BA">
        <w:rPr>
          <w:rFonts w:ascii="Book Antiqua" w:hAnsi="Book Antiqua" w:cs="Times New Roman"/>
        </w:rPr>
        <w:t>90</w:t>
      </w:r>
      <w:r w:rsidRPr="00A06DAF">
        <w:rPr>
          <w:rFonts w:ascii="Book Antiqua" w:hAnsi="Book Antiqua" w:cs="Times New Roman"/>
        </w:rPr>
        <w:t xml:space="preserve"> učenika.</w:t>
      </w:r>
      <w:r w:rsidR="00626E76" w:rsidRPr="00A06DAF">
        <w:rPr>
          <w:rFonts w:ascii="Book Antiqua" w:hAnsi="Book Antiqua" w:cs="Times New Roman"/>
        </w:rPr>
        <w:t xml:space="preserve">     </w:t>
      </w:r>
    </w:p>
    <w:p w:rsidR="007C175F" w:rsidRPr="00A06DAF" w:rsidRDefault="00EA7938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Učenicima s teškoćama u učenju osigurani su pomoćnici u nastavi kroz županijski projekt „Pomoćnici u nastavi</w:t>
      </w:r>
      <w:r w:rsidR="00897093">
        <w:rPr>
          <w:rFonts w:ascii="Book Antiqua" w:hAnsi="Book Antiqua" w:cs="Times New Roman"/>
        </w:rPr>
        <w:t xml:space="preserve"> </w:t>
      </w:r>
      <w:r w:rsidR="003D112F">
        <w:rPr>
          <w:rFonts w:ascii="Book Antiqua" w:hAnsi="Book Antiqua" w:cs="Times New Roman"/>
        </w:rPr>
        <w:t>6</w:t>
      </w:r>
      <w:r>
        <w:rPr>
          <w:rFonts w:ascii="Book Antiqua" w:hAnsi="Book Antiqua" w:cs="Times New Roman"/>
        </w:rPr>
        <w:t>“.</w:t>
      </w:r>
      <w:r w:rsidR="00626E76" w:rsidRPr="00A06DAF">
        <w:rPr>
          <w:rFonts w:ascii="Book Antiqua" w:hAnsi="Book Antiqua" w:cs="Times New Roman"/>
        </w:rPr>
        <w:t xml:space="preserve"> </w:t>
      </w:r>
    </w:p>
    <w:p w:rsidR="00626E76" w:rsidRPr="00A06DAF" w:rsidRDefault="00626E76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4F0154" w:rsidRPr="00A06DAF" w:rsidRDefault="004F0154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</w:rPr>
      </w:pPr>
      <w:r w:rsidRPr="00A06DAF">
        <w:rPr>
          <w:rFonts w:ascii="Book Antiqua" w:hAnsi="Book Antiqua" w:cs="Times New Roman"/>
          <w:b/>
        </w:rPr>
        <w:t>7. OBRAZLOŽENJE</w:t>
      </w:r>
    </w:p>
    <w:p w:rsidR="004F0154" w:rsidRPr="00A06DAF" w:rsidRDefault="004F0154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4F0154" w:rsidRPr="00A06DAF" w:rsidRDefault="004F0154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Priho</w:t>
      </w:r>
      <w:r w:rsidR="002F7428" w:rsidRPr="00A06DAF">
        <w:rPr>
          <w:rFonts w:ascii="Book Antiqua" w:hAnsi="Book Antiqua" w:cs="Times New Roman"/>
        </w:rPr>
        <w:t xml:space="preserve">di i </w:t>
      </w:r>
      <w:r w:rsidR="0018070D" w:rsidRPr="00A06DAF">
        <w:rPr>
          <w:rFonts w:ascii="Book Antiqua" w:hAnsi="Book Antiqua" w:cs="Times New Roman"/>
        </w:rPr>
        <w:t>primici kao i izdaci u 202</w:t>
      </w:r>
      <w:r w:rsidR="003D112F">
        <w:rPr>
          <w:rFonts w:ascii="Book Antiqua" w:hAnsi="Book Antiqua" w:cs="Times New Roman"/>
        </w:rPr>
        <w:t>3</w:t>
      </w:r>
      <w:r w:rsidR="0018070D" w:rsidRPr="00A06DAF">
        <w:rPr>
          <w:rFonts w:ascii="Book Antiqua" w:hAnsi="Book Antiqua" w:cs="Times New Roman"/>
        </w:rPr>
        <w:t>. ostvaruju se na nivou 20</w:t>
      </w:r>
      <w:r w:rsidR="00684468" w:rsidRPr="00A06DAF">
        <w:rPr>
          <w:rFonts w:ascii="Book Antiqua" w:hAnsi="Book Antiqua" w:cs="Times New Roman"/>
        </w:rPr>
        <w:t>2</w:t>
      </w:r>
      <w:r w:rsidR="003D112F">
        <w:rPr>
          <w:rFonts w:ascii="Book Antiqua" w:hAnsi="Book Antiqua" w:cs="Times New Roman"/>
        </w:rPr>
        <w:t>2</w:t>
      </w:r>
      <w:r w:rsidRPr="00A06DAF">
        <w:rPr>
          <w:rFonts w:ascii="Book Antiqua" w:hAnsi="Book Antiqua" w:cs="Times New Roman"/>
        </w:rPr>
        <w:t>. u skladu s Uputama za i</w:t>
      </w:r>
      <w:r w:rsidR="009D57D0" w:rsidRPr="00A06DAF">
        <w:rPr>
          <w:rFonts w:ascii="Book Antiqua" w:hAnsi="Book Antiqua" w:cs="Times New Roman"/>
        </w:rPr>
        <w:t xml:space="preserve">zradu financijskog </w:t>
      </w:r>
      <w:r w:rsidR="002A7558">
        <w:rPr>
          <w:rFonts w:ascii="Book Antiqua" w:hAnsi="Book Antiqua" w:cs="Times New Roman"/>
        </w:rPr>
        <w:t>plana za 202</w:t>
      </w:r>
      <w:r w:rsidR="003D112F">
        <w:rPr>
          <w:rFonts w:ascii="Book Antiqua" w:hAnsi="Book Antiqua" w:cs="Times New Roman"/>
        </w:rPr>
        <w:t>3</w:t>
      </w:r>
      <w:r w:rsidR="002A7558">
        <w:rPr>
          <w:rFonts w:ascii="Book Antiqua" w:hAnsi="Book Antiqua" w:cs="Times New Roman"/>
        </w:rPr>
        <w:t>. – 202</w:t>
      </w:r>
      <w:r w:rsidR="003D112F">
        <w:rPr>
          <w:rFonts w:ascii="Book Antiqua" w:hAnsi="Book Antiqua" w:cs="Times New Roman"/>
        </w:rPr>
        <w:t>5</w:t>
      </w:r>
      <w:r w:rsidR="0038673B" w:rsidRPr="00A06DAF">
        <w:rPr>
          <w:rFonts w:ascii="Book Antiqua" w:hAnsi="Book Antiqua" w:cs="Times New Roman"/>
        </w:rPr>
        <w:t>.</w:t>
      </w:r>
    </w:p>
    <w:p w:rsidR="00626E76" w:rsidRPr="00A06DAF" w:rsidRDefault="00626E76" w:rsidP="0089709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</w:rPr>
      </w:pPr>
    </w:p>
    <w:p w:rsidR="0088685A" w:rsidRPr="00A06DAF" w:rsidRDefault="0088685A" w:rsidP="00942D9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7C175F" w:rsidRPr="00A06DAF" w:rsidRDefault="00626E76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U Čepinu</w:t>
      </w:r>
      <w:r w:rsidR="007C175F" w:rsidRPr="00A06DAF">
        <w:rPr>
          <w:rFonts w:ascii="Book Antiqua" w:hAnsi="Book Antiqua" w:cs="Times New Roman"/>
        </w:rPr>
        <w:t xml:space="preserve">, </w:t>
      </w:r>
      <w:r w:rsidR="00081186">
        <w:rPr>
          <w:rFonts w:ascii="Book Antiqua" w:hAnsi="Book Antiqua" w:cs="Times New Roman"/>
        </w:rPr>
        <w:t>20</w:t>
      </w:r>
      <w:r w:rsidR="009D57D0" w:rsidRPr="00A06DAF">
        <w:rPr>
          <w:rFonts w:ascii="Book Antiqua" w:hAnsi="Book Antiqua" w:cs="Times New Roman"/>
        </w:rPr>
        <w:t xml:space="preserve">. </w:t>
      </w:r>
      <w:r w:rsidR="00081186">
        <w:rPr>
          <w:rFonts w:ascii="Book Antiqua" w:hAnsi="Book Antiqua" w:cs="Times New Roman"/>
        </w:rPr>
        <w:t>prosinca</w:t>
      </w:r>
      <w:r w:rsidR="0038673B" w:rsidRPr="00A06DAF">
        <w:rPr>
          <w:rFonts w:ascii="Book Antiqua" w:hAnsi="Book Antiqua" w:cs="Times New Roman"/>
        </w:rPr>
        <w:t xml:space="preserve"> </w:t>
      </w:r>
      <w:r w:rsidR="001E5DEB">
        <w:rPr>
          <w:rFonts w:ascii="Book Antiqua" w:hAnsi="Book Antiqua" w:cs="Times New Roman"/>
        </w:rPr>
        <w:t>202</w:t>
      </w:r>
      <w:r w:rsidR="003D112F">
        <w:rPr>
          <w:rFonts w:ascii="Book Antiqua" w:hAnsi="Book Antiqua" w:cs="Times New Roman"/>
        </w:rPr>
        <w:t>2</w:t>
      </w:r>
      <w:r w:rsidR="007C175F" w:rsidRPr="00A06DAF">
        <w:rPr>
          <w:rFonts w:ascii="Book Antiqua" w:hAnsi="Book Antiqua" w:cs="Times New Roman"/>
        </w:rPr>
        <w:t>. godina</w:t>
      </w:r>
    </w:p>
    <w:p w:rsidR="0088685A" w:rsidRPr="00A06DAF" w:rsidRDefault="0088685A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88685A" w:rsidRPr="00A06DAF" w:rsidRDefault="0088685A" w:rsidP="007C175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</w:p>
    <w:p w:rsidR="007C175F" w:rsidRPr="00A06DAF" w:rsidRDefault="007C175F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</w:rPr>
      </w:pPr>
      <w:r w:rsidRPr="00A06DAF">
        <w:rPr>
          <w:rFonts w:ascii="Book Antiqua" w:hAnsi="Book Antiqua" w:cs="Times New Roman"/>
        </w:rPr>
        <w:t>Ravnatelj</w:t>
      </w:r>
      <w:r w:rsidR="00626E76" w:rsidRPr="00A06DAF">
        <w:rPr>
          <w:rFonts w:ascii="Book Antiqua" w:hAnsi="Book Antiqua" w:cs="Times New Roman"/>
        </w:rPr>
        <w:t>ica</w:t>
      </w:r>
    </w:p>
    <w:p w:rsidR="002F7428" w:rsidRPr="00A06DAF" w:rsidRDefault="002F7428" w:rsidP="00626E7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</w:rPr>
      </w:pPr>
    </w:p>
    <w:p w:rsidR="00BD2F24" w:rsidRPr="002F7428" w:rsidRDefault="00626E76" w:rsidP="00626E7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F7428">
        <w:rPr>
          <w:rFonts w:ascii="Times New Roman" w:hAnsi="Times New Roman" w:cs="Times New Roman"/>
        </w:rPr>
        <w:t xml:space="preserve">Branka </w:t>
      </w:r>
      <w:proofErr w:type="spellStart"/>
      <w:r w:rsidRPr="002F7428">
        <w:rPr>
          <w:rFonts w:ascii="Times New Roman" w:hAnsi="Times New Roman" w:cs="Times New Roman"/>
        </w:rPr>
        <w:t>Ma</w:t>
      </w:r>
      <w:r w:rsidR="0088685A" w:rsidRPr="002F7428">
        <w:rPr>
          <w:rFonts w:ascii="Times New Roman" w:hAnsi="Times New Roman" w:cs="Times New Roman"/>
        </w:rPr>
        <w:t>ck-S</w:t>
      </w:r>
      <w:r w:rsidRPr="002F7428">
        <w:rPr>
          <w:rFonts w:ascii="Times New Roman" w:hAnsi="Times New Roman" w:cs="Times New Roman"/>
        </w:rPr>
        <w:t>avanović</w:t>
      </w:r>
      <w:proofErr w:type="spellEnd"/>
    </w:p>
    <w:sectPr w:rsidR="00BD2F24" w:rsidRPr="002F7428" w:rsidSect="0038627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C7" w:rsidRDefault="00891BC7" w:rsidP="00B540F9">
      <w:pPr>
        <w:spacing w:after="0" w:line="240" w:lineRule="auto"/>
      </w:pPr>
      <w:r>
        <w:separator/>
      </w:r>
    </w:p>
  </w:endnote>
  <w:endnote w:type="continuationSeparator" w:id="0">
    <w:p w:rsidR="00891BC7" w:rsidRDefault="00891BC7" w:rsidP="00B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309709"/>
      <w:docPartObj>
        <w:docPartGallery w:val="Page Numbers (Bottom of Page)"/>
        <w:docPartUnique/>
      </w:docPartObj>
    </w:sdtPr>
    <w:sdtEndPr/>
    <w:sdtContent>
      <w:p w:rsidR="00386276" w:rsidRDefault="003862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5BF">
          <w:rPr>
            <w:noProof/>
          </w:rPr>
          <w:t>6</w:t>
        </w:r>
        <w:r>
          <w:fldChar w:fldCharType="end"/>
        </w:r>
      </w:p>
    </w:sdtContent>
  </w:sdt>
  <w:p w:rsidR="00B540F9" w:rsidRDefault="00B540F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824118"/>
      <w:docPartObj>
        <w:docPartGallery w:val="Page Numbers (Bottom of Page)"/>
        <w:docPartUnique/>
      </w:docPartObj>
    </w:sdtPr>
    <w:sdtEndPr/>
    <w:sdtContent>
      <w:p w:rsidR="00EA7938" w:rsidRDefault="00EA7938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6" name="Dijagram toka: Odlu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036B1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" fillcolor="black">
                  <w10:anchorlock/>
                </v:shape>
              </w:pict>
            </mc:Fallback>
          </mc:AlternateContent>
        </w:r>
      </w:p>
      <w:p w:rsidR="00EA7938" w:rsidRDefault="00EA7938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7938" w:rsidRDefault="00EA79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C7" w:rsidRDefault="00891BC7" w:rsidP="00B540F9">
      <w:pPr>
        <w:spacing w:after="0" w:line="240" w:lineRule="auto"/>
      </w:pPr>
      <w:r>
        <w:separator/>
      </w:r>
    </w:p>
  </w:footnote>
  <w:footnote w:type="continuationSeparator" w:id="0">
    <w:p w:rsidR="00891BC7" w:rsidRDefault="00891BC7" w:rsidP="00B5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1B9"/>
    <w:multiLevelType w:val="hybridMultilevel"/>
    <w:tmpl w:val="55F65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36C3"/>
    <w:multiLevelType w:val="hybridMultilevel"/>
    <w:tmpl w:val="07A6BE3E"/>
    <w:lvl w:ilvl="0" w:tplc="98C690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20B"/>
    <w:multiLevelType w:val="hybridMultilevel"/>
    <w:tmpl w:val="42365E56"/>
    <w:lvl w:ilvl="0" w:tplc="98C690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D12"/>
    <w:multiLevelType w:val="hybridMultilevel"/>
    <w:tmpl w:val="30DEFFBE"/>
    <w:lvl w:ilvl="0" w:tplc="D6A05C80">
      <w:start w:val="2016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58EE"/>
    <w:multiLevelType w:val="hybridMultilevel"/>
    <w:tmpl w:val="869EDC1E"/>
    <w:lvl w:ilvl="0" w:tplc="4BF20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5B2D"/>
    <w:multiLevelType w:val="hybridMultilevel"/>
    <w:tmpl w:val="1F928A7C"/>
    <w:lvl w:ilvl="0" w:tplc="AF28465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BD44B28"/>
    <w:multiLevelType w:val="hybridMultilevel"/>
    <w:tmpl w:val="EF38D84C"/>
    <w:lvl w:ilvl="0" w:tplc="B41C47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65CD2"/>
    <w:multiLevelType w:val="hybridMultilevel"/>
    <w:tmpl w:val="B5227392"/>
    <w:lvl w:ilvl="0" w:tplc="98C690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C28E0"/>
    <w:multiLevelType w:val="hybridMultilevel"/>
    <w:tmpl w:val="D9206418"/>
    <w:lvl w:ilvl="0" w:tplc="7428B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5F"/>
    <w:rsid w:val="00012437"/>
    <w:rsid w:val="00065D1F"/>
    <w:rsid w:val="00071320"/>
    <w:rsid w:val="00081072"/>
    <w:rsid w:val="00081186"/>
    <w:rsid w:val="000C3401"/>
    <w:rsid w:val="000F36BA"/>
    <w:rsid w:val="0012202F"/>
    <w:rsid w:val="00126A89"/>
    <w:rsid w:val="001513B7"/>
    <w:rsid w:val="0018070D"/>
    <w:rsid w:val="001C1FC8"/>
    <w:rsid w:val="001E3398"/>
    <w:rsid w:val="001E5DEB"/>
    <w:rsid w:val="002405BF"/>
    <w:rsid w:val="002478DE"/>
    <w:rsid w:val="002A2985"/>
    <w:rsid w:val="002A7558"/>
    <w:rsid w:val="002D032C"/>
    <w:rsid w:val="002E628F"/>
    <w:rsid w:val="002F7428"/>
    <w:rsid w:val="00312C12"/>
    <w:rsid w:val="003569F4"/>
    <w:rsid w:val="00364099"/>
    <w:rsid w:val="00386276"/>
    <w:rsid w:val="0038673B"/>
    <w:rsid w:val="003D112F"/>
    <w:rsid w:val="003D31B1"/>
    <w:rsid w:val="003D6DF9"/>
    <w:rsid w:val="003D7537"/>
    <w:rsid w:val="004353CC"/>
    <w:rsid w:val="00447EFE"/>
    <w:rsid w:val="0046109B"/>
    <w:rsid w:val="00482DF4"/>
    <w:rsid w:val="004F0154"/>
    <w:rsid w:val="00504638"/>
    <w:rsid w:val="00531ABF"/>
    <w:rsid w:val="005A5AFA"/>
    <w:rsid w:val="005B19B3"/>
    <w:rsid w:val="005B7B03"/>
    <w:rsid w:val="005D6886"/>
    <w:rsid w:val="00626E76"/>
    <w:rsid w:val="006562F2"/>
    <w:rsid w:val="00684468"/>
    <w:rsid w:val="00691037"/>
    <w:rsid w:val="0069771E"/>
    <w:rsid w:val="006B40F0"/>
    <w:rsid w:val="00715472"/>
    <w:rsid w:val="007256C5"/>
    <w:rsid w:val="00726598"/>
    <w:rsid w:val="00745E9B"/>
    <w:rsid w:val="007B68AF"/>
    <w:rsid w:val="007C175F"/>
    <w:rsid w:val="007E239D"/>
    <w:rsid w:val="008028C1"/>
    <w:rsid w:val="008301A0"/>
    <w:rsid w:val="0088685A"/>
    <w:rsid w:val="00891BC7"/>
    <w:rsid w:val="00897093"/>
    <w:rsid w:val="008B1F9A"/>
    <w:rsid w:val="008C5C66"/>
    <w:rsid w:val="008E3A8C"/>
    <w:rsid w:val="00924C4B"/>
    <w:rsid w:val="00942D90"/>
    <w:rsid w:val="00966CDF"/>
    <w:rsid w:val="009B39BA"/>
    <w:rsid w:val="009B465B"/>
    <w:rsid w:val="009B542C"/>
    <w:rsid w:val="009C3DC8"/>
    <w:rsid w:val="009D57D0"/>
    <w:rsid w:val="009F712C"/>
    <w:rsid w:val="00A06DAF"/>
    <w:rsid w:val="00A373C8"/>
    <w:rsid w:val="00A64A02"/>
    <w:rsid w:val="00AB25F0"/>
    <w:rsid w:val="00B13748"/>
    <w:rsid w:val="00B53833"/>
    <w:rsid w:val="00B540F9"/>
    <w:rsid w:val="00BD2F24"/>
    <w:rsid w:val="00C412DD"/>
    <w:rsid w:val="00C708B4"/>
    <w:rsid w:val="00C8391E"/>
    <w:rsid w:val="00CA1CB2"/>
    <w:rsid w:val="00CD0650"/>
    <w:rsid w:val="00D507D4"/>
    <w:rsid w:val="00D76D34"/>
    <w:rsid w:val="00D86340"/>
    <w:rsid w:val="00DE037E"/>
    <w:rsid w:val="00E15806"/>
    <w:rsid w:val="00E36879"/>
    <w:rsid w:val="00E45790"/>
    <w:rsid w:val="00EA0576"/>
    <w:rsid w:val="00EA7938"/>
    <w:rsid w:val="00EE5765"/>
    <w:rsid w:val="00EF320E"/>
    <w:rsid w:val="00F22B59"/>
    <w:rsid w:val="00F54135"/>
    <w:rsid w:val="00FC268D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5BDC72"/>
  <w15:chartTrackingRefBased/>
  <w15:docId w15:val="{739B8A38-EFC6-4DA1-8B6A-DFD3A7F6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75F"/>
    <w:pPr>
      <w:ind w:left="720"/>
      <w:contextualSpacing/>
    </w:pPr>
  </w:style>
  <w:style w:type="table" w:styleId="Reetkatablice">
    <w:name w:val="Table Grid"/>
    <w:basedOn w:val="Obinatablica"/>
    <w:uiPriority w:val="39"/>
    <w:rsid w:val="007C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42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5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40F9"/>
  </w:style>
  <w:style w:type="paragraph" w:styleId="Podnoje">
    <w:name w:val="footer"/>
    <w:basedOn w:val="Normal"/>
    <w:link w:val="PodnojeChar"/>
    <w:uiPriority w:val="99"/>
    <w:unhideWhenUsed/>
    <w:rsid w:val="00B5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40F9"/>
  </w:style>
  <w:style w:type="table" w:styleId="Tamnatablicareetke5-isticanje1">
    <w:name w:val="Grid Table 5 Dark Accent 1"/>
    <w:basedOn w:val="Obinatablica"/>
    <w:uiPriority w:val="50"/>
    <w:rsid w:val="002D03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E4BC-81A6-4D09-96FB-F58A778C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x</cp:lastModifiedBy>
  <cp:revision>8</cp:revision>
  <cp:lastPrinted>2022-12-20T09:34:00Z</cp:lastPrinted>
  <dcterms:created xsi:type="dcterms:W3CDTF">2022-10-11T10:19:00Z</dcterms:created>
  <dcterms:modified xsi:type="dcterms:W3CDTF">2022-12-20T09:44:00Z</dcterms:modified>
</cp:coreProperties>
</file>